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D87A" w14:textId="75921760" w:rsidR="006C622A" w:rsidRDefault="0007183E">
      <w:pPr>
        <w:pStyle w:val="CRCoverPage"/>
        <w:tabs>
          <w:tab w:val="right" w:pos="9639"/>
        </w:tabs>
        <w:spacing w:after="0"/>
        <w:rPr>
          <w:rFonts w:eastAsia="SimSun" w:cs="Arial"/>
          <w:b/>
          <w:i/>
          <w:sz w:val="22"/>
          <w:szCs w:val="22"/>
          <w:lang w:val="en-US"/>
        </w:rPr>
      </w:pPr>
      <w:bookmarkStart w:id="0" w:name="_Toc18403966"/>
      <w:bookmarkStart w:id="1" w:name="_Toc18413600"/>
      <w:bookmarkStart w:id="2" w:name="_Toc18404533"/>
      <w:r>
        <w:rPr>
          <w:rFonts w:cs="Arial"/>
          <w:b/>
          <w:sz w:val="22"/>
          <w:szCs w:val="22"/>
          <w:lang w:val="en-US"/>
        </w:rPr>
        <w:t>3GPP TSG-RAN WG2 #11</w:t>
      </w:r>
      <w:r w:rsidR="00A35CA6">
        <w:rPr>
          <w:rFonts w:cs="Arial"/>
          <w:b/>
          <w:sz w:val="22"/>
          <w:szCs w:val="22"/>
          <w:lang w:val="en-US"/>
        </w:rPr>
        <w:t>6</w:t>
      </w:r>
      <w:r>
        <w:rPr>
          <w:rFonts w:cs="Arial"/>
          <w:b/>
          <w:sz w:val="22"/>
          <w:szCs w:val="22"/>
          <w:lang w:val="en-US"/>
        </w:rPr>
        <w:t>-e</w:t>
      </w:r>
      <w:r>
        <w:rPr>
          <w:rFonts w:cs="Arial"/>
          <w:b/>
          <w:i/>
          <w:sz w:val="22"/>
          <w:szCs w:val="22"/>
          <w:lang w:val="en-US"/>
        </w:rPr>
        <w:tab/>
      </w:r>
      <w:r w:rsidR="00A35CA6" w:rsidRPr="00A35CA6">
        <w:rPr>
          <w:rFonts w:cs="Arial"/>
          <w:b/>
          <w:i/>
          <w:sz w:val="22"/>
          <w:szCs w:val="22"/>
          <w:lang w:val="en-US" w:eastAsia="zh-CN"/>
        </w:rPr>
        <w:t>R2-2110575</w:t>
      </w:r>
    </w:p>
    <w:p w14:paraId="1B1A8209" w14:textId="3EF41634" w:rsidR="006C622A" w:rsidRDefault="0007183E">
      <w:pPr>
        <w:rPr>
          <w:rFonts w:eastAsia="MS Mincho" w:cs="Arial"/>
          <w:b/>
          <w:kern w:val="0"/>
          <w:sz w:val="22"/>
          <w:szCs w:val="22"/>
          <w:lang w:val="en-US" w:eastAsia="en-US"/>
        </w:rPr>
      </w:pPr>
      <w:proofErr w:type="spellStart"/>
      <w:r>
        <w:rPr>
          <w:rFonts w:eastAsia="MS Mincho" w:cs="Arial"/>
          <w:b/>
          <w:kern w:val="0"/>
          <w:sz w:val="22"/>
          <w:szCs w:val="22"/>
          <w:lang w:val="en-US" w:eastAsia="en-US"/>
        </w:rPr>
        <w:t>eMeeting</w:t>
      </w:r>
      <w:proofErr w:type="spellEnd"/>
      <w:r>
        <w:rPr>
          <w:rFonts w:eastAsia="MS Mincho" w:cs="Arial"/>
          <w:b/>
          <w:kern w:val="0"/>
          <w:sz w:val="22"/>
          <w:szCs w:val="22"/>
          <w:lang w:val="en-US" w:eastAsia="en-US"/>
        </w:rPr>
        <w:t xml:space="preserve">, </w:t>
      </w:r>
      <w:r w:rsidR="00A35CA6">
        <w:rPr>
          <w:rFonts w:eastAsia="MS Mincho" w:cs="Arial"/>
          <w:b/>
          <w:kern w:val="0"/>
          <w:sz w:val="22"/>
          <w:szCs w:val="22"/>
          <w:lang w:val="en-US" w:eastAsia="en-US"/>
        </w:rPr>
        <w:t>01-12 Nov</w:t>
      </w:r>
      <w:r>
        <w:rPr>
          <w:rFonts w:eastAsia="MS Mincho" w:cs="Arial"/>
          <w:b/>
          <w:kern w:val="0"/>
          <w:sz w:val="22"/>
          <w:szCs w:val="22"/>
          <w:lang w:val="en-US" w:eastAsia="en-US"/>
        </w:rPr>
        <w:t xml:space="preserve"> 2021</w:t>
      </w:r>
    </w:p>
    <w:p w14:paraId="62FB5235" w14:textId="77777777" w:rsidR="006C622A" w:rsidRDefault="0007183E">
      <w:pPr>
        <w:rPr>
          <w:rFonts w:eastAsia="SimSun"/>
          <w:sz w:val="24"/>
          <w:szCs w:val="24"/>
          <w:lang w:val="en-US" w:eastAsia="zh-CN"/>
        </w:rPr>
      </w:pPr>
      <w:r>
        <w:rPr>
          <w:rFonts w:cs="Arial"/>
          <w:b/>
          <w:bCs/>
          <w:sz w:val="24"/>
          <w:lang w:val="en-US"/>
        </w:rPr>
        <w:t>Agenda item:</w:t>
      </w:r>
      <w:r>
        <w:rPr>
          <w:rFonts w:cs="Arial"/>
          <w:b/>
          <w:bCs/>
          <w:sz w:val="24"/>
          <w:lang w:val="en-US"/>
        </w:rPr>
        <w:tab/>
        <w:t>8.6.2</w:t>
      </w:r>
    </w:p>
    <w:p w14:paraId="5E8DAB45" w14:textId="77777777" w:rsidR="006C622A" w:rsidRDefault="0007183E">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Sanechips</w:t>
      </w:r>
    </w:p>
    <w:p w14:paraId="7BF0651B" w14:textId="77777777" w:rsidR="006C622A" w:rsidRDefault="0007183E">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The issues on user plane common aspects for SDT </w:t>
      </w:r>
    </w:p>
    <w:bookmarkEnd w:id="3"/>
    <w:p w14:paraId="5063C45A" w14:textId="77777777" w:rsidR="006C622A" w:rsidRDefault="0007183E">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1E70A12A" w14:textId="77777777" w:rsidR="006C622A" w:rsidRDefault="0007183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61E39462" w14:textId="77777777" w:rsidR="006C622A" w:rsidRDefault="0007183E">
      <w:pPr>
        <w:widowControl/>
        <w:overflowPunct w:val="0"/>
        <w:autoSpaceDE w:val="0"/>
        <w:autoSpaceDN w:val="0"/>
        <w:adjustRightInd w:val="0"/>
        <w:spacing w:after="180" w:line="240" w:lineRule="auto"/>
        <w:jc w:val="left"/>
        <w:textAlignment w:val="baseline"/>
        <w:rPr>
          <w:rFonts w:cs="Arial"/>
          <w:color w:val="000000"/>
          <w:lang w:val="en-US"/>
        </w:rPr>
      </w:pPr>
      <w:r>
        <w:rPr>
          <w:rFonts w:ascii="CG Times (WN)" w:eastAsia="Times New Roman" w:hAnsi="CG Times (WN)" w:hint="eastAsia"/>
          <w:kern w:val="0"/>
          <w:szCs w:val="22"/>
          <w:lang w:val="en-US" w:eastAsia="zh-CN"/>
        </w:rPr>
        <w:t xml:space="preserve">The intention of this </w:t>
      </w:r>
      <w:r>
        <w:rPr>
          <w:rFonts w:ascii="CG Times (WN)" w:eastAsia="Times New Roman" w:hAnsi="CG Times (WN)" w:hint="eastAsia"/>
          <w:kern w:val="0"/>
          <w:szCs w:val="22"/>
          <w:lang w:val="en-US" w:eastAsia="zh-CN"/>
        </w:rPr>
        <w:t>contribution is to identify the open issues for user plane common aspect of SDT.</w:t>
      </w:r>
    </w:p>
    <w:p w14:paraId="72C0626B" w14:textId="77777777" w:rsidR="006C622A" w:rsidRDefault="0007183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User plane common aspects for SDT</w:t>
      </w:r>
    </w:p>
    <w:p w14:paraId="598C9583" w14:textId="77777777" w:rsidR="006C622A" w:rsidRDefault="0007183E">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ko-KR"/>
        </w:rPr>
        <w:t>Buffer Status Reporting</w:t>
      </w:r>
      <w:r>
        <w:rPr>
          <w:rFonts w:hint="eastAsia"/>
          <w:u w:val="single"/>
          <w:lang w:val="en-US" w:eastAsia="zh-CN"/>
        </w:rPr>
        <w:t xml:space="preserve"> and </w:t>
      </w:r>
      <w:r>
        <w:rPr>
          <w:rFonts w:hint="eastAsia"/>
          <w:u w:val="single"/>
          <w:lang w:val="en-US" w:eastAsia="ko-KR"/>
        </w:rPr>
        <w:t>Scheduling Request</w:t>
      </w:r>
    </w:p>
    <w:p w14:paraId="01509923"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has been agreed in the previous meeting that </w:t>
      </w:r>
      <w:r>
        <w:rPr>
          <w:rFonts w:ascii="CG Times (WN)" w:eastAsia="Times New Roman" w:hAnsi="CG Times (WN)"/>
          <w:kern w:val="0"/>
          <w:szCs w:val="22"/>
          <w:lang w:val="en-US" w:eastAsia="zh-CN"/>
        </w:rPr>
        <w:t>“The BSR configuration used for SDT can be dif</w:t>
      </w:r>
      <w:r>
        <w:rPr>
          <w:rFonts w:ascii="CG Times (WN)" w:eastAsia="Times New Roman" w:hAnsi="CG Times (WN)"/>
          <w:kern w:val="0"/>
          <w:szCs w:val="22"/>
          <w:lang w:val="en-US" w:eastAsia="zh-CN"/>
        </w:rPr>
        <w:t>ferent from the BSR configuration used in RRC_CONNECTED.”</w:t>
      </w:r>
      <w:r>
        <w:rPr>
          <w:rFonts w:ascii="CG Times (WN)" w:eastAsia="Times New Roman" w:hAnsi="CG Times (WN)" w:hint="eastAsia"/>
          <w:kern w:val="0"/>
          <w:szCs w:val="22"/>
          <w:lang w:val="en-US" w:eastAsia="zh-CN"/>
        </w:rPr>
        <w:t xml:space="preserve">. However, it is still FFS Whether the BSR configuration used for SDT is configured by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 xml:space="preserve"> or used from default configuration needs further discussion.</w:t>
      </w:r>
    </w:p>
    <w:p w14:paraId="0C0F7F54"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BSR operation, the following parameters</w:t>
      </w:r>
      <w:r>
        <w:rPr>
          <w:rFonts w:ascii="CG Times (WN)" w:eastAsia="Times New Roman" w:hAnsi="CG Times (WN)" w:hint="eastAsia"/>
          <w:kern w:val="0"/>
          <w:szCs w:val="22"/>
          <w:lang w:val="en-US" w:eastAsia="zh-CN"/>
        </w:rPr>
        <w:t xml:space="preserve"> will be required.</w:t>
      </w:r>
    </w:p>
    <w:p w14:paraId="4994620E" w14:textId="77777777" w:rsidR="006C622A" w:rsidRDefault="0007183E">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periodicBSR</w:t>
      </w:r>
      <w:proofErr w:type="spellEnd"/>
      <w:r>
        <w:rPr>
          <w:rFonts w:ascii="CG Times (WN)" w:eastAsia="Times New Roman" w:hAnsi="CG Times (WN)" w:hint="eastAsia"/>
          <w:kern w:val="0"/>
          <w:szCs w:val="22"/>
          <w:lang w:val="en-US" w:eastAsia="zh-CN"/>
        </w:rPr>
        <w:t>-Timer</w:t>
      </w:r>
    </w:p>
    <w:p w14:paraId="5C827C54" w14:textId="77777777" w:rsidR="006C622A" w:rsidRDefault="0007183E">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retxBSR</w:t>
      </w:r>
      <w:proofErr w:type="spellEnd"/>
      <w:r>
        <w:rPr>
          <w:rFonts w:ascii="CG Times (WN)" w:eastAsia="Times New Roman" w:hAnsi="CG Times (WN)" w:hint="eastAsia"/>
          <w:kern w:val="0"/>
          <w:szCs w:val="22"/>
          <w:lang w:val="en-US" w:eastAsia="zh-CN"/>
        </w:rPr>
        <w:t>-Timer</w:t>
      </w:r>
    </w:p>
    <w:p w14:paraId="14E87E61" w14:textId="77777777" w:rsidR="006C622A" w:rsidRDefault="0007183E">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logicalChannelSR-DelayTimer</w:t>
      </w:r>
      <w:proofErr w:type="spellEnd"/>
    </w:p>
    <w:p w14:paraId="36451D3D"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configured, the SR will be triggered once BSR is triggered and there is no UL grant available for BSR transmission. Considering latency sensitive services are not expected to be carried on SDT, and RACH will be trigger</w:t>
      </w:r>
      <w:r>
        <w:rPr>
          <w:rFonts w:ascii="CG Times (WN)" w:eastAsia="Times New Roman" w:hAnsi="CG Times (WN)" w:hint="eastAsia"/>
          <w:kern w:val="0"/>
          <w:szCs w:val="22"/>
          <w:lang w:val="en-US" w:eastAsia="zh-CN"/>
        </w:rPr>
        <w:t xml:space="preserve">ed in case no SR is configured, we think the configuration of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should be allowed to avoid the unnecessary RACH procedure. </w:t>
      </w:r>
    </w:p>
    <w:p w14:paraId="147F8A60"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With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the </w:t>
      </w:r>
      <w:proofErr w:type="spellStart"/>
      <w:r>
        <w:rPr>
          <w:rFonts w:ascii="CG Times (WN)" w:eastAsia="Times New Roman" w:hAnsi="CG Times (WN)" w:hint="eastAsia"/>
          <w:kern w:val="0"/>
          <w:szCs w:val="22"/>
          <w:lang w:val="en-US" w:eastAsia="zh-CN"/>
        </w:rPr>
        <w:t>logicalChannelSR-DelayTimerApplied</w:t>
      </w:r>
      <w:proofErr w:type="spellEnd"/>
      <w:r>
        <w:rPr>
          <w:rFonts w:ascii="CG Times (WN)" w:eastAsia="Times New Roman" w:hAnsi="CG Times (WN)" w:hint="eastAsia"/>
          <w:kern w:val="0"/>
          <w:szCs w:val="22"/>
          <w:lang w:val="en-US" w:eastAsia="zh-CN"/>
        </w:rPr>
        <w:t xml:space="preserve"> configured for each logical c</w:t>
      </w:r>
      <w:r>
        <w:rPr>
          <w:rFonts w:ascii="CG Times (WN)" w:eastAsia="Times New Roman" w:hAnsi="CG Times (WN)" w:hint="eastAsia"/>
          <w:kern w:val="0"/>
          <w:szCs w:val="22"/>
          <w:lang w:val="en-US" w:eastAsia="zh-CN"/>
        </w:rPr>
        <w:t xml:space="preserve">hannel will be used to determine whether to apply the delay timer for SR transmission for this logical channel. Considering the dedicated logical channel configuration will be used in SDT, as part of logical channel configuration, the UE specific </w:t>
      </w:r>
      <w:proofErr w:type="spellStart"/>
      <w:r>
        <w:rPr>
          <w:rFonts w:ascii="CG Times (WN)" w:eastAsia="Times New Roman" w:hAnsi="CG Times (WN)" w:hint="eastAsia"/>
          <w:kern w:val="0"/>
          <w:szCs w:val="22"/>
          <w:lang w:val="en-US" w:eastAsia="zh-CN"/>
        </w:rPr>
        <w:t>logicalCh</w:t>
      </w:r>
      <w:r>
        <w:rPr>
          <w:rFonts w:ascii="CG Times (WN)" w:eastAsia="Times New Roman" w:hAnsi="CG Times (WN)" w:hint="eastAsia"/>
          <w:kern w:val="0"/>
          <w:szCs w:val="22"/>
          <w:lang w:val="en-US" w:eastAsia="zh-CN"/>
        </w:rPr>
        <w:t>annelSR-DelayTimerApplied</w:t>
      </w:r>
      <w:proofErr w:type="spellEnd"/>
      <w:r>
        <w:rPr>
          <w:rFonts w:ascii="CG Times (WN)" w:eastAsia="Times New Roman" w:hAnsi="CG Times (WN)" w:hint="eastAsia"/>
          <w:kern w:val="0"/>
          <w:szCs w:val="22"/>
          <w:lang w:val="en-US" w:eastAsia="zh-CN"/>
        </w:rPr>
        <w:t xml:space="preserve"> stored will be used.</w:t>
      </w:r>
    </w:p>
    <w:p w14:paraId="7BEC36D9"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1: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allowed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300128F4"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confi</w:t>
      </w:r>
      <w:r>
        <w:rPr>
          <w:rFonts w:ascii="CG Times (WN)" w:eastAsia="Times New Roman" w:hAnsi="CG Times (WN)" w:hint="eastAsia"/>
          <w:kern w:val="0"/>
          <w:szCs w:val="22"/>
          <w:lang w:val="en-US" w:eastAsia="zh-CN"/>
        </w:rPr>
        <w:t>guration of BSR-Config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w:t>
      </w:r>
      <w:proofErr w:type="spellStart"/>
      <w:r>
        <w:rPr>
          <w:rFonts w:ascii="CG Times (WN)" w:eastAsia="Times New Roman" w:hAnsi="CG Times (WN)" w:hint="eastAsia"/>
          <w:kern w:val="0"/>
          <w:szCs w:val="22"/>
          <w:lang w:val="en-US" w:eastAsia="zh-CN"/>
        </w:rPr>
        <w:t>periodicBSR</w:t>
      </w:r>
      <w:proofErr w:type="spellEnd"/>
      <w:r>
        <w:rPr>
          <w:rFonts w:ascii="CG Times (WN)" w:eastAsia="Times New Roman" w:hAnsi="CG Times (WN)" w:hint="eastAsia"/>
          <w:kern w:val="0"/>
          <w:szCs w:val="22"/>
          <w:lang w:val="en-US" w:eastAsia="zh-CN"/>
        </w:rPr>
        <w:t xml:space="preserve">-Timer, </w:t>
      </w:r>
      <w:proofErr w:type="spellStart"/>
      <w:r>
        <w:rPr>
          <w:rFonts w:ascii="CG Times (WN)" w:eastAsia="Times New Roman" w:hAnsi="CG Times (WN)" w:hint="eastAsia"/>
          <w:kern w:val="0"/>
          <w:szCs w:val="22"/>
          <w:lang w:val="en-US" w:eastAsia="zh-CN"/>
        </w:rPr>
        <w:t>retxBSR</w:t>
      </w:r>
      <w:proofErr w:type="spellEnd"/>
      <w:r>
        <w:rPr>
          <w:rFonts w:ascii="CG Times (WN)" w:eastAsia="Times New Roman" w:hAnsi="CG Times (WN)" w:hint="eastAsia"/>
          <w:kern w:val="0"/>
          <w:szCs w:val="22"/>
          <w:lang w:val="en-US" w:eastAsia="zh-CN"/>
        </w:rPr>
        <w:t xml:space="preserve">-Timer and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the following alternatives can be considered:</w:t>
      </w:r>
    </w:p>
    <w:p w14:paraId="378CF7E0" w14:textId="77777777" w:rsidR="006C622A" w:rsidRDefault="0007183E">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Use the UE specific BSR configuration stored on UE side.</w:t>
      </w:r>
    </w:p>
    <w:p w14:paraId="360E210B" w14:textId="77777777" w:rsidR="006C622A" w:rsidRDefault="0007183E">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Use the SDT specific BSR configuration broadc</w:t>
      </w:r>
      <w:r>
        <w:rPr>
          <w:rFonts w:ascii="CG Times (WN)" w:eastAsia="Times New Roman" w:hAnsi="CG Times (WN)" w:hint="eastAsia"/>
          <w:kern w:val="0"/>
          <w:szCs w:val="22"/>
          <w:lang w:val="en-US" w:eastAsia="zh-CN"/>
        </w:rPr>
        <w:t>asted in SIB.</w:t>
      </w:r>
    </w:p>
    <w:p w14:paraId="57168693" w14:textId="77777777" w:rsidR="006C622A" w:rsidRDefault="0007183E">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Alt3: Use the default MAC cell group configuration specified in RRC spec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section 9.2.2) </w:t>
      </w:r>
    </w:p>
    <w:p w14:paraId="16359E9B"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default MAC cell group configuration captured in RRC can be found as follow:</w:t>
      </w:r>
    </w:p>
    <w:p w14:paraId="221254B0"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Default MAC Cell group configurati</w:t>
      </w:r>
      <w:r>
        <w:rPr>
          <w:rFonts w:ascii="CG Times (WN)" w:eastAsia="Times New Roman" w:hAnsi="CG Times (WN)" w:hint="eastAsia"/>
          <w:kern w:val="0"/>
          <w:szCs w:val="22"/>
          <w:lang w:val="en-US" w:eastAsia="zh-CN"/>
        </w:rPr>
        <w:t>on in RRC start -----------------------------</w:t>
      </w:r>
    </w:p>
    <w:p w14:paraId="34479624"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bookmarkStart w:id="4" w:name="_Toc46439994"/>
      <w:bookmarkStart w:id="5" w:name="_Toc53007118"/>
      <w:bookmarkStart w:id="6" w:name="_Toc46487592"/>
      <w:bookmarkStart w:id="7" w:name="_Toc52837470"/>
      <w:bookmarkStart w:id="8" w:name="_Toc52838478"/>
      <w:bookmarkStart w:id="9" w:name="_Toc46444831"/>
      <w:r>
        <w:rPr>
          <w:rFonts w:ascii="CG Times (WN)" w:eastAsia="Times New Roman" w:hAnsi="CG Times (WN)" w:hint="eastAsia"/>
          <w:kern w:val="0"/>
          <w:szCs w:val="22"/>
          <w:lang w:val="en-US" w:eastAsia="zh-CN"/>
        </w:rPr>
        <w:t>9.2.2</w:t>
      </w:r>
      <w:r>
        <w:rPr>
          <w:rFonts w:ascii="CG Times (WN)" w:eastAsia="Times New Roman" w:hAnsi="CG Times (WN)" w:hint="eastAsia"/>
          <w:kern w:val="0"/>
          <w:szCs w:val="22"/>
          <w:lang w:val="en-US" w:eastAsia="zh-CN"/>
        </w:rPr>
        <w:tab/>
        <w:t>Default MAC Cell Group configuration</w:t>
      </w:r>
      <w:bookmarkEnd w:id="4"/>
      <w:bookmarkEnd w:id="5"/>
      <w:bookmarkEnd w:id="6"/>
      <w:bookmarkEnd w:id="7"/>
      <w:bookmarkEnd w:id="8"/>
      <w:bookmarkEnd w:id="9"/>
    </w:p>
    <w:p w14:paraId="3957B161"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ko-KR"/>
        </w:rPr>
      </w:pPr>
      <w:r>
        <w:rPr>
          <w:rFonts w:ascii="CG Times (WN)" w:eastAsia="Times New Roman" w:hAnsi="CG Times (WN)" w:hint="eastAsia"/>
          <w:kern w:val="0"/>
          <w:szCs w:val="22"/>
          <w:lang w:val="en-US"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6C622A" w14:paraId="55CE98DC" w14:textId="77777777">
        <w:trPr>
          <w:tblHeader/>
        </w:trPr>
        <w:tc>
          <w:tcPr>
            <w:tcW w:w="3260" w:type="dxa"/>
            <w:tcBorders>
              <w:top w:val="single" w:sz="4" w:space="0" w:color="auto"/>
              <w:left w:val="single" w:sz="4" w:space="0" w:color="auto"/>
              <w:bottom w:val="single" w:sz="4" w:space="0" w:color="auto"/>
              <w:right w:val="single" w:sz="4" w:space="0" w:color="auto"/>
            </w:tcBorders>
          </w:tcPr>
          <w:p w14:paraId="743CA8F5" w14:textId="77777777" w:rsidR="006C622A" w:rsidRDefault="0007183E">
            <w:pPr>
              <w:pStyle w:val="TAH"/>
              <w:keepNext w:val="0"/>
              <w:keepLines w:val="0"/>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tcPr>
          <w:p w14:paraId="562AAD39" w14:textId="77777777" w:rsidR="006C622A" w:rsidRDefault="0007183E">
            <w:pPr>
              <w:pStyle w:val="TAH"/>
              <w:keepNext w:val="0"/>
              <w:keepLines w:val="0"/>
              <w:rPr>
                <w:lang w:eastAsia="en-GB"/>
              </w:rPr>
            </w:pPr>
            <w:r>
              <w:rPr>
                <w:lang w:eastAsia="en-GB"/>
              </w:rPr>
              <w:t>Value</w:t>
            </w:r>
          </w:p>
        </w:tc>
        <w:tc>
          <w:tcPr>
            <w:tcW w:w="2552" w:type="dxa"/>
            <w:tcBorders>
              <w:top w:val="single" w:sz="4" w:space="0" w:color="auto"/>
              <w:left w:val="single" w:sz="4" w:space="0" w:color="auto"/>
              <w:bottom w:val="single" w:sz="4" w:space="0" w:color="auto"/>
              <w:right w:val="single" w:sz="4" w:space="0" w:color="auto"/>
            </w:tcBorders>
          </w:tcPr>
          <w:p w14:paraId="3E44450A" w14:textId="77777777" w:rsidR="006C622A" w:rsidRDefault="0007183E">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5C196899" w14:textId="77777777" w:rsidR="006C622A" w:rsidRDefault="0007183E">
            <w:pPr>
              <w:pStyle w:val="TAH"/>
              <w:keepNext w:val="0"/>
              <w:keepLines w:val="0"/>
              <w:rPr>
                <w:lang w:eastAsia="en-GB"/>
              </w:rPr>
            </w:pPr>
            <w:r>
              <w:rPr>
                <w:lang w:eastAsia="en-GB"/>
              </w:rPr>
              <w:t>Ver</w:t>
            </w:r>
          </w:p>
        </w:tc>
      </w:tr>
      <w:tr w:rsidR="006C622A" w14:paraId="76ED6417" w14:textId="77777777">
        <w:tc>
          <w:tcPr>
            <w:tcW w:w="3260" w:type="dxa"/>
            <w:tcBorders>
              <w:top w:val="single" w:sz="4" w:space="0" w:color="auto"/>
              <w:left w:val="single" w:sz="4" w:space="0" w:color="auto"/>
              <w:bottom w:val="single" w:sz="4" w:space="0" w:color="auto"/>
              <w:right w:val="single" w:sz="4" w:space="0" w:color="auto"/>
            </w:tcBorders>
          </w:tcPr>
          <w:p w14:paraId="71CB239C" w14:textId="77777777" w:rsidR="006C622A" w:rsidRDefault="0007183E">
            <w:pPr>
              <w:pStyle w:val="TAL"/>
            </w:pPr>
            <w:r>
              <w:t xml:space="preserve">MAC </w:t>
            </w:r>
            <w:r>
              <w:rPr>
                <w:lang w:eastAsia="sv-SE"/>
              </w:rPr>
              <w:t>Cell Group</w:t>
            </w:r>
            <w: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92202E6" w14:textId="77777777" w:rsidR="006C622A" w:rsidRDefault="006C622A">
            <w:pPr>
              <w:pStyle w:val="TAL"/>
            </w:pPr>
          </w:p>
        </w:tc>
        <w:tc>
          <w:tcPr>
            <w:tcW w:w="2552" w:type="dxa"/>
            <w:tcBorders>
              <w:top w:val="single" w:sz="4" w:space="0" w:color="auto"/>
              <w:left w:val="single" w:sz="4" w:space="0" w:color="auto"/>
              <w:bottom w:val="single" w:sz="4" w:space="0" w:color="auto"/>
              <w:right w:val="single" w:sz="4" w:space="0" w:color="auto"/>
            </w:tcBorders>
          </w:tcPr>
          <w:p w14:paraId="48D5E255"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5058BA3C" w14:textId="77777777" w:rsidR="006C622A" w:rsidRDefault="006C622A">
            <w:pPr>
              <w:pStyle w:val="TAL"/>
            </w:pPr>
          </w:p>
        </w:tc>
      </w:tr>
      <w:tr w:rsidR="006C622A" w14:paraId="12F51DD5" w14:textId="77777777">
        <w:tc>
          <w:tcPr>
            <w:tcW w:w="3260" w:type="dxa"/>
            <w:tcBorders>
              <w:top w:val="single" w:sz="4" w:space="0" w:color="auto"/>
              <w:left w:val="single" w:sz="4" w:space="0" w:color="auto"/>
              <w:bottom w:val="single" w:sz="4" w:space="0" w:color="auto"/>
              <w:right w:val="single" w:sz="4" w:space="0" w:color="auto"/>
            </w:tcBorders>
          </w:tcPr>
          <w:p w14:paraId="0C25AD76" w14:textId="77777777" w:rsidR="006C622A" w:rsidRDefault="0007183E">
            <w:pPr>
              <w:pStyle w:val="TAL"/>
              <w:rPr>
                <w:i/>
              </w:rPr>
            </w:pPr>
            <w:proofErr w:type="spellStart"/>
            <w:r>
              <w:rPr>
                <w:i/>
              </w:rPr>
              <w:t>bsr</w:t>
            </w:r>
            <w:proofErr w:type="spellEnd"/>
            <w:r>
              <w:rPr>
                <w:i/>
              </w:rPr>
              <w:t>-Config</w:t>
            </w:r>
          </w:p>
        </w:tc>
        <w:tc>
          <w:tcPr>
            <w:tcW w:w="1418" w:type="dxa"/>
            <w:tcBorders>
              <w:top w:val="single" w:sz="4" w:space="0" w:color="auto"/>
              <w:left w:val="single" w:sz="4" w:space="0" w:color="auto"/>
              <w:bottom w:val="single" w:sz="4" w:space="0" w:color="auto"/>
              <w:right w:val="single" w:sz="4" w:space="0" w:color="auto"/>
            </w:tcBorders>
          </w:tcPr>
          <w:p w14:paraId="1C7C38F3" w14:textId="77777777" w:rsidR="006C622A" w:rsidRDefault="006C622A">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64A174C7"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2109E078" w14:textId="77777777" w:rsidR="006C622A" w:rsidRDefault="006C622A">
            <w:pPr>
              <w:pStyle w:val="TAL"/>
            </w:pPr>
          </w:p>
        </w:tc>
      </w:tr>
      <w:tr w:rsidR="006C622A" w14:paraId="68399D3C" w14:textId="77777777">
        <w:tc>
          <w:tcPr>
            <w:tcW w:w="3260" w:type="dxa"/>
            <w:tcBorders>
              <w:top w:val="single" w:sz="4" w:space="0" w:color="auto"/>
              <w:left w:val="single" w:sz="4" w:space="0" w:color="auto"/>
              <w:bottom w:val="single" w:sz="4" w:space="0" w:color="auto"/>
              <w:right w:val="single" w:sz="4" w:space="0" w:color="auto"/>
            </w:tcBorders>
          </w:tcPr>
          <w:p w14:paraId="60863DBB" w14:textId="77777777" w:rsidR="006C622A" w:rsidRDefault="0007183E">
            <w:pPr>
              <w:pStyle w:val="TAL"/>
              <w:rPr>
                <w:i/>
              </w:rPr>
            </w:pPr>
            <w:r>
              <w:rPr>
                <w:i/>
                <w:lang w:eastAsia="sv-SE"/>
              </w:rPr>
              <w:t>&gt;</w:t>
            </w:r>
            <w:proofErr w:type="spellStart"/>
            <w:r>
              <w:rPr>
                <w:i/>
              </w:rPr>
              <w:t>periodicBSR</w:t>
            </w:r>
            <w:proofErr w:type="spellEnd"/>
            <w:r>
              <w:rPr>
                <w:i/>
              </w:rPr>
              <w:t>-Timer</w:t>
            </w:r>
          </w:p>
        </w:tc>
        <w:tc>
          <w:tcPr>
            <w:tcW w:w="1418" w:type="dxa"/>
            <w:tcBorders>
              <w:top w:val="single" w:sz="4" w:space="0" w:color="auto"/>
              <w:left w:val="single" w:sz="4" w:space="0" w:color="auto"/>
              <w:bottom w:val="single" w:sz="4" w:space="0" w:color="auto"/>
              <w:right w:val="single" w:sz="4" w:space="0" w:color="auto"/>
            </w:tcBorders>
          </w:tcPr>
          <w:p w14:paraId="18FB2878" w14:textId="77777777" w:rsidR="006C622A" w:rsidRDefault="0007183E">
            <w:pPr>
              <w:pStyle w:val="TAL"/>
              <w:rPr>
                <w:lang w:eastAsia="sv-SE"/>
              </w:rPr>
            </w:pPr>
            <w:r>
              <w:t>sf10</w:t>
            </w:r>
          </w:p>
        </w:tc>
        <w:tc>
          <w:tcPr>
            <w:tcW w:w="2552" w:type="dxa"/>
            <w:tcBorders>
              <w:top w:val="single" w:sz="4" w:space="0" w:color="auto"/>
              <w:left w:val="single" w:sz="4" w:space="0" w:color="auto"/>
              <w:bottom w:val="single" w:sz="4" w:space="0" w:color="auto"/>
              <w:right w:val="single" w:sz="4" w:space="0" w:color="auto"/>
            </w:tcBorders>
          </w:tcPr>
          <w:p w14:paraId="764C4EE5"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687B9615" w14:textId="77777777" w:rsidR="006C622A" w:rsidRDefault="006C622A">
            <w:pPr>
              <w:pStyle w:val="TAL"/>
            </w:pPr>
          </w:p>
        </w:tc>
      </w:tr>
      <w:tr w:rsidR="006C622A" w14:paraId="3BA80D6E" w14:textId="77777777">
        <w:tc>
          <w:tcPr>
            <w:tcW w:w="3260" w:type="dxa"/>
            <w:tcBorders>
              <w:top w:val="single" w:sz="4" w:space="0" w:color="auto"/>
              <w:left w:val="single" w:sz="4" w:space="0" w:color="auto"/>
              <w:bottom w:val="single" w:sz="4" w:space="0" w:color="auto"/>
              <w:right w:val="single" w:sz="4" w:space="0" w:color="auto"/>
            </w:tcBorders>
          </w:tcPr>
          <w:p w14:paraId="0551FF6F" w14:textId="77777777" w:rsidR="006C622A" w:rsidRDefault="0007183E">
            <w:pPr>
              <w:pStyle w:val="TAL"/>
              <w:rPr>
                <w:i/>
              </w:rPr>
            </w:pPr>
            <w:r>
              <w:rPr>
                <w:i/>
                <w:lang w:eastAsia="sv-SE"/>
              </w:rPr>
              <w:t>&gt;</w:t>
            </w:r>
            <w:proofErr w:type="spellStart"/>
            <w:r>
              <w:rPr>
                <w:i/>
              </w:rPr>
              <w:t>retxBSR</w:t>
            </w:r>
            <w:proofErr w:type="spellEnd"/>
            <w:r>
              <w:rPr>
                <w:i/>
              </w:rPr>
              <w:t>-Timer</w:t>
            </w:r>
          </w:p>
        </w:tc>
        <w:tc>
          <w:tcPr>
            <w:tcW w:w="1418" w:type="dxa"/>
            <w:tcBorders>
              <w:top w:val="single" w:sz="4" w:space="0" w:color="auto"/>
              <w:left w:val="single" w:sz="4" w:space="0" w:color="auto"/>
              <w:bottom w:val="single" w:sz="4" w:space="0" w:color="auto"/>
              <w:right w:val="single" w:sz="4" w:space="0" w:color="auto"/>
            </w:tcBorders>
          </w:tcPr>
          <w:p w14:paraId="35C109BC" w14:textId="77777777" w:rsidR="006C622A" w:rsidRDefault="0007183E">
            <w:pPr>
              <w:pStyle w:val="TAL"/>
              <w:rPr>
                <w:lang w:eastAsia="sv-SE"/>
              </w:rPr>
            </w:pPr>
            <w:r>
              <w:rPr>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499F44EB"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7E23BA1E" w14:textId="77777777" w:rsidR="006C622A" w:rsidRDefault="006C622A">
            <w:pPr>
              <w:pStyle w:val="TAL"/>
            </w:pPr>
          </w:p>
        </w:tc>
      </w:tr>
      <w:tr w:rsidR="006C622A" w14:paraId="6FDDC265" w14:textId="77777777">
        <w:tc>
          <w:tcPr>
            <w:tcW w:w="3260" w:type="dxa"/>
            <w:tcBorders>
              <w:top w:val="single" w:sz="4" w:space="0" w:color="auto"/>
              <w:left w:val="single" w:sz="4" w:space="0" w:color="auto"/>
              <w:bottom w:val="single" w:sz="4" w:space="0" w:color="auto"/>
              <w:right w:val="single" w:sz="4" w:space="0" w:color="auto"/>
            </w:tcBorders>
          </w:tcPr>
          <w:p w14:paraId="39180A9B" w14:textId="77777777" w:rsidR="006C622A" w:rsidRDefault="0007183E">
            <w:pPr>
              <w:pStyle w:val="TAL"/>
              <w:rPr>
                <w:i/>
              </w:rPr>
            </w:pPr>
            <w:proofErr w:type="spellStart"/>
            <w:r>
              <w:rPr>
                <w:i/>
              </w:rPr>
              <w:t>phr</w:t>
            </w:r>
            <w:proofErr w:type="spellEnd"/>
            <w:r>
              <w:rPr>
                <w:i/>
              </w:rPr>
              <w:t>-Config</w:t>
            </w:r>
          </w:p>
        </w:tc>
        <w:tc>
          <w:tcPr>
            <w:tcW w:w="1418" w:type="dxa"/>
            <w:tcBorders>
              <w:top w:val="single" w:sz="4" w:space="0" w:color="auto"/>
              <w:left w:val="single" w:sz="4" w:space="0" w:color="auto"/>
              <w:bottom w:val="single" w:sz="4" w:space="0" w:color="auto"/>
              <w:right w:val="single" w:sz="4" w:space="0" w:color="auto"/>
            </w:tcBorders>
          </w:tcPr>
          <w:p w14:paraId="6A5BA762" w14:textId="77777777" w:rsidR="006C622A" w:rsidRDefault="006C622A">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59315AF4"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557B2240" w14:textId="77777777" w:rsidR="006C622A" w:rsidRDefault="006C622A">
            <w:pPr>
              <w:pStyle w:val="TAL"/>
            </w:pPr>
          </w:p>
        </w:tc>
      </w:tr>
      <w:tr w:rsidR="006C622A" w14:paraId="67BFEC4C" w14:textId="77777777">
        <w:tc>
          <w:tcPr>
            <w:tcW w:w="3260" w:type="dxa"/>
            <w:tcBorders>
              <w:top w:val="single" w:sz="4" w:space="0" w:color="auto"/>
              <w:left w:val="single" w:sz="4" w:space="0" w:color="auto"/>
              <w:bottom w:val="single" w:sz="4" w:space="0" w:color="auto"/>
              <w:right w:val="single" w:sz="4" w:space="0" w:color="auto"/>
            </w:tcBorders>
          </w:tcPr>
          <w:p w14:paraId="29779208" w14:textId="77777777" w:rsidR="006C622A" w:rsidRDefault="0007183E">
            <w:pPr>
              <w:pStyle w:val="TAL"/>
              <w:rPr>
                <w:i/>
              </w:rPr>
            </w:pPr>
            <w:r>
              <w:rPr>
                <w:i/>
                <w:lang w:eastAsia="sv-SE"/>
              </w:rPr>
              <w:t>&gt;</w:t>
            </w:r>
            <w:proofErr w:type="spellStart"/>
            <w:r>
              <w:rPr>
                <w:i/>
                <w:lang w:eastAsia="sv-SE"/>
              </w:rPr>
              <w:t>phr-PeriodicTimer</w:t>
            </w:r>
            <w:proofErr w:type="spellEnd"/>
          </w:p>
        </w:tc>
        <w:tc>
          <w:tcPr>
            <w:tcW w:w="1418" w:type="dxa"/>
            <w:tcBorders>
              <w:top w:val="single" w:sz="4" w:space="0" w:color="auto"/>
              <w:left w:val="single" w:sz="4" w:space="0" w:color="auto"/>
              <w:bottom w:val="single" w:sz="4" w:space="0" w:color="auto"/>
              <w:right w:val="single" w:sz="4" w:space="0" w:color="auto"/>
            </w:tcBorders>
          </w:tcPr>
          <w:p w14:paraId="6B2A01C3" w14:textId="77777777" w:rsidR="006C622A" w:rsidRDefault="0007183E">
            <w:pPr>
              <w:pStyle w:val="TAL"/>
              <w:rPr>
                <w:lang w:eastAsia="sv-SE"/>
              </w:rPr>
            </w:pPr>
            <w: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45929345"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23289A9B" w14:textId="77777777" w:rsidR="006C622A" w:rsidRDefault="006C622A">
            <w:pPr>
              <w:pStyle w:val="TAL"/>
            </w:pPr>
          </w:p>
        </w:tc>
      </w:tr>
      <w:tr w:rsidR="006C622A" w14:paraId="30A96377" w14:textId="77777777">
        <w:tc>
          <w:tcPr>
            <w:tcW w:w="3260" w:type="dxa"/>
            <w:tcBorders>
              <w:top w:val="single" w:sz="4" w:space="0" w:color="auto"/>
              <w:left w:val="single" w:sz="4" w:space="0" w:color="auto"/>
              <w:bottom w:val="single" w:sz="4" w:space="0" w:color="auto"/>
              <w:right w:val="single" w:sz="4" w:space="0" w:color="auto"/>
            </w:tcBorders>
          </w:tcPr>
          <w:p w14:paraId="48D8FE18" w14:textId="77777777" w:rsidR="006C622A" w:rsidRDefault="0007183E">
            <w:pPr>
              <w:pStyle w:val="TAL"/>
              <w:rPr>
                <w:i/>
                <w:lang w:eastAsia="sv-SE"/>
              </w:rPr>
            </w:pPr>
            <w:r>
              <w:rPr>
                <w:i/>
                <w:lang w:eastAsia="sv-SE"/>
              </w:rPr>
              <w:t>&gt;</w:t>
            </w:r>
            <w:proofErr w:type="spellStart"/>
            <w:r>
              <w:rPr>
                <w:i/>
                <w:lang w:eastAsia="sv-SE"/>
              </w:rPr>
              <w:t>phr-ProhibitTimer</w:t>
            </w:r>
            <w:proofErr w:type="spellEnd"/>
          </w:p>
        </w:tc>
        <w:tc>
          <w:tcPr>
            <w:tcW w:w="1418" w:type="dxa"/>
            <w:tcBorders>
              <w:top w:val="single" w:sz="4" w:space="0" w:color="auto"/>
              <w:left w:val="single" w:sz="4" w:space="0" w:color="auto"/>
              <w:bottom w:val="single" w:sz="4" w:space="0" w:color="auto"/>
              <w:right w:val="single" w:sz="4" w:space="0" w:color="auto"/>
            </w:tcBorders>
          </w:tcPr>
          <w:p w14:paraId="4798BA6E" w14:textId="77777777" w:rsidR="006C622A" w:rsidRDefault="0007183E">
            <w:pPr>
              <w:pStyle w:val="TAL"/>
              <w:rPr>
                <w:lang w:eastAsia="sv-SE"/>
              </w:rPr>
            </w:pPr>
            <w: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4934F463"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0F905F6C" w14:textId="77777777" w:rsidR="006C622A" w:rsidRDefault="006C622A">
            <w:pPr>
              <w:pStyle w:val="TAL"/>
            </w:pPr>
          </w:p>
        </w:tc>
      </w:tr>
      <w:tr w:rsidR="006C622A" w14:paraId="1ADF5932" w14:textId="77777777">
        <w:tc>
          <w:tcPr>
            <w:tcW w:w="3260" w:type="dxa"/>
            <w:tcBorders>
              <w:top w:val="single" w:sz="4" w:space="0" w:color="auto"/>
              <w:left w:val="single" w:sz="4" w:space="0" w:color="auto"/>
              <w:bottom w:val="single" w:sz="4" w:space="0" w:color="auto"/>
              <w:right w:val="single" w:sz="4" w:space="0" w:color="auto"/>
            </w:tcBorders>
          </w:tcPr>
          <w:p w14:paraId="6D598CAB" w14:textId="77777777" w:rsidR="006C622A" w:rsidRDefault="0007183E">
            <w:pPr>
              <w:pStyle w:val="TAL"/>
              <w:rPr>
                <w:i/>
                <w:lang w:eastAsia="sv-SE"/>
              </w:rPr>
            </w:pPr>
            <w:r>
              <w:rPr>
                <w:i/>
                <w:lang w:eastAsia="sv-SE"/>
              </w:rPr>
              <w:t>&gt;</w:t>
            </w:r>
            <w:proofErr w:type="spellStart"/>
            <w:r>
              <w:rPr>
                <w:i/>
                <w:lang w:eastAsia="sv-SE"/>
              </w:rPr>
              <w:t>phr</w:t>
            </w:r>
            <w:proofErr w:type="spellEnd"/>
            <w:r>
              <w:rPr>
                <w:i/>
                <w:lang w:eastAsia="sv-SE"/>
              </w:rPr>
              <w:t>-Tx-</w:t>
            </w:r>
            <w:proofErr w:type="spellStart"/>
            <w:r>
              <w:rPr>
                <w:i/>
                <w:lang w:eastAsia="sv-SE"/>
              </w:rPr>
              <w:t>PowerFactorChange</w:t>
            </w:r>
            <w:proofErr w:type="spellEnd"/>
            <w:r>
              <w:rPr>
                <w:i/>
                <w:lang w:eastAsia="sv-SE"/>
              </w:rPr>
              <w:t xml:space="preserve"> </w:t>
            </w:r>
          </w:p>
        </w:tc>
        <w:tc>
          <w:tcPr>
            <w:tcW w:w="1418" w:type="dxa"/>
            <w:tcBorders>
              <w:top w:val="single" w:sz="4" w:space="0" w:color="auto"/>
              <w:left w:val="single" w:sz="4" w:space="0" w:color="auto"/>
              <w:bottom w:val="single" w:sz="4" w:space="0" w:color="auto"/>
              <w:right w:val="single" w:sz="4" w:space="0" w:color="auto"/>
            </w:tcBorders>
          </w:tcPr>
          <w:p w14:paraId="1F765E0E" w14:textId="77777777" w:rsidR="006C622A" w:rsidRDefault="0007183E">
            <w:pPr>
              <w:pStyle w:val="TAL"/>
            </w:pPr>
            <w:r>
              <w:t>dB1</w:t>
            </w:r>
          </w:p>
        </w:tc>
        <w:tc>
          <w:tcPr>
            <w:tcW w:w="2552" w:type="dxa"/>
            <w:tcBorders>
              <w:top w:val="single" w:sz="4" w:space="0" w:color="auto"/>
              <w:left w:val="single" w:sz="4" w:space="0" w:color="auto"/>
              <w:bottom w:val="single" w:sz="4" w:space="0" w:color="auto"/>
              <w:right w:val="single" w:sz="4" w:space="0" w:color="auto"/>
            </w:tcBorders>
          </w:tcPr>
          <w:p w14:paraId="1B030226" w14:textId="77777777" w:rsidR="006C622A" w:rsidRDefault="006C622A">
            <w:pPr>
              <w:pStyle w:val="TAL"/>
            </w:pPr>
          </w:p>
        </w:tc>
        <w:tc>
          <w:tcPr>
            <w:tcW w:w="708" w:type="dxa"/>
            <w:tcBorders>
              <w:top w:val="single" w:sz="4" w:space="0" w:color="auto"/>
              <w:left w:val="single" w:sz="4" w:space="0" w:color="auto"/>
              <w:bottom w:val="single" w:sz="4" w:space="0" w:color="auto"/>
              <w:right w:val="single" w:sz="4" w:space="0" w:color="auto"/>
            </w:tcBorders>
          </w:tcPr>
          <w:p w14:paraId="5D763515" w14:textId="77777777" w:rsidR="006C622A" w:rsidRDefault="006C622A">
            <w:pPr>
              <w:pStyle w:val="TAL"/>
            </w:pPr>
          </w:p>
        </w:tc>
      </w:tr>
    </w:tbl>
    <w:p w14:paraId="056DA298" w14:textId="77777777" w:rsidR="006C622A" w:rsidRDefault="006C622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5A034303"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Default MAC Cell group configuration in RRC end -----------------------------</w:t>
      </w:r>
    </w:p>
    <w:p w14:paraId="4A2EA0DB"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the default value is mainly </w:t>
      </w:r>
      <w:r>
        <w:rPr>
          <w:rFonts w:ascii="CG Times (WN)" w:eastAsia="Times New Roman" w:hAnsi="CG Times (WN)" w:hint="eastAsia"/>
          <w:kern w:val="0"/>
          <w:szCs w:val="22"/>
          <w:lang w:val="en-US" w:eastAsia="zh-CN"/>
        </w:rPr>
        <w:t xml:space="preserve">determined based on the typical value used in CONNECTED mode, which may not be the same as the parameters used for SDT. Also considering different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/Cell may have it is own configuration for SDT parameters, we prefer to introduce the SDT specific BSR con</w:t>
      </w:r>
      <w:r>
        <w:rPr>
          <w:rFonts w:ascii="CG Times (WN)" w:eastAsia="Times New Roman" w:hAnsi="CG Times (WN)" w:hint="eastAsia"/>
          <w:kern w:val="0"/>
          <w:szCs w:val="22"/>
          <w:lang w:val="en-US" w:eastAsia="zh-CN"/>
        </w:rPr>
        <w:t>figuration in SIB. If the SDT specific BSR configuration is broadcasted, then the broadcasted configuration will be used. Otherwise,</w:t>
      </w:r>
      <w:r>
        <w:rPr>
          <w:rFonts w:ascii="CG Times (WN)" w:eastAsia="Times New Roman" w:hAnsi="CG Times (WN)"/>
          <w:kern w:val="0"/>
          <w:szCs w:val="22"/>
          <w:lang w:val="en-US" w:eastAsia="zh-CN"/>
        </w:rPr>
        <w:t xml:space="preserve"> </w:t>
      </w:r>
      <w:r>
        <w:rPr>
          <w:rFonts w:ascii="CG Times (WN)" w:eastAsia="Times New Roman" w:hAnsi="CG Times (WN)" w:hint="eastAsia"/>
          <w:kern w:val="0"/>
          <w:szCs w:val="22"/>
          <w:lang w:val="en-US" w:eastAsia="zh-CN"/>
        </w:rPr>
        <w:t>the default value should be used.</w:t>
      </w:r>
    </w:p>
    <w:p w14:paraId="79DDD86F"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Proposal 2: SDT specific BSR configuration should be introduced in SIB. If the SDT specif</w:t>
      </w:r>
      <w:r>
        <w:rPr>
          <w:rFonts w:ascii="CG Times (WN)" w:eastAsia="Times New Roman" w:hAnsi="CG Times (WN)" w:hint="eastAsia"/>
          <w:b/>
          <w:bCs/>
          <w:kern w:val="0"/>
          <w:szCs w:val="22"/>
          <w:lang w:val="en-US" w:eastAsia="zh-CN"/>
        </w:rPr>
        <w:t>ic BSR configuration is broadcasted, then the broadcasted configuration will be used. Otherwise, the default configuration should be used.</w:t>
      </w:r>
    </w:p>
    <w:p w14:paraId="4EC50339" w14:textId="77777777" w:rsidR="006C622A" w:rsidRDefault="006C622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71986EF" w14:textId="77777777" w:rsidR="006C622A" w:rsidRDefault="0007183E">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PHR reporting</w:t>
      </w:r>
    </w:p>
    <w:p w14:paraId="295A67E0"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has been agreed in previous meeting that “Legacy PHR triggers are applied for SDT”. </w:t>
      </w:r>
      <w:r>
        <w:rPr>
          <w:rFonts w:ascii="CG Times (WN)" w:eastAsia="Times New Roman" w:hAnsi="CG Times (WN)" w:hint="eastAsia"/>
          <w:kern w:val="0"/>
          <w:szCs w:val="22"/>
          <w:lang w:val="en-US" w:eastAsia="zh-CN"/>
        </w:rPr>
        <w:t>However, the configuration of PHR related parameters for PHR is still not clear.</w:t>
      </w:r>
    </w:p>
    <w:p w14:paraId="0C4FC954"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According to current specs, the PHR is a configurable function, and it is up to NW to determine whether PHR is needed for a specific UE or not. Considering the TBS is expected</w:t>
      </w:r>
      <w:r>
        <w:rPr>
          <w:rFonts w:ascii="CG Times (WN)" w:eastAsia="Times New Roman" w:hAnsi="CG Times (WN)" w:hint="eastAsia"/>
          <w:kern w:val="0"/>
          <w:szCs w:val="22"/>
          <w:lang w:val="en-US" w:eastAsia="zh-CN"/>
        </w:rPr>
        <w:t xml:space="preserve"> to be small in SDT and the RSRP threshold can be used to ensure the SDT will be used in cell with good radio condition,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t think the PHR is an essential function for SDT and it should still be optional configured by NW (the same as legacy).</w:t>
      </w:r>
    </w:p>
    <w:p w14:paraId="6BEB63E5"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w:t>
      </w:r>
      <w:r>
        <w:rPr>
          <w:rFonts w:ascii="CG Times (WN)" w:eastAsia="Times New Roman" w:hAnsi="CG Times (WN)" w:hint="eastAsia"/>
          <w:b/>
          <w:bCs/>
          <w:kern w:val="0"/>
          <w:szCs w:val="22"/>
          <w:lang w:val="en-US" w:eastAsia="zh-CN"/>
        </w:rPr>
        <w:t xml:space="preserve"> 3: The PHR should be configurable for SDT, and it is up to NW to determine whether PHR is needed or not in SDT.</w:t>
      </w:r>
    </w:p>
    <w:p w14:paraId="406433DD"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Although we have a default configuration for PHR in RRC, considering the default value is mainly determined based on the typical value used in </w:t>
      </w:r>
      <w:r>
        <w:rPr>
          <w:rFonts w:ascii="CG Times (WN)" w:eastAsia="Times New Roman" w:hAnsi="CG Times (WN)" w:hint="eastAsia"/>
          <w:kern w:val="0"/>
          <w:szCs w:val="22"/>
          <w:lang w:val="en-US" w:eastAsia="zh-CN"/>
        </w:rPr>
        <w:t>CONNECTED mode, the NW should be allowed to configured different value for SDT other than the default value given in RRC. Similar as BSR discussed above, we prefer to have separate SDT PHR configuration in SIB. If the SDT PHR configuration is not broadcast</w:t>
      </w:r>
      <w:r>
        <w:rPr>
          <w:rFonts w:ascii="CG Times (WN)" w:eastAsia="Times New Roman" w:hAnsi="CG Times (WN)" w:hint="eastAsia"/>
          <w:kern w:val="0"/>
          <w:szCs w:val="22"/>
          <w:lang w:val="en-US" w:eastAsia="zh-CN"/>
        </w:rPr>
        <w:t>ed, then the default configuration will be used.</w:t>
      </w:r>
    </w:p>
    <w:p w14:paraId="5F267FDF"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4: Separate SDT PHR configuration should be included in SIB. If the SDT PHR configuration is not broadcasted, then the default configuration will be used </w:t>
      </w:r>
    </w:p>
    <w:p w14:paraId="63047F00" w14:textId="77777777" w:rsidR="006C622A" w:rsidRDefault="006C622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E891FE8" w14:textId="77777777" w:rsidR="006C622A" w:rsidRDefault="0007183E">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ROHC continuity</w:t>
      </w:r>
    </w:p>
    <w:p w14:paraId="2D99D941"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It has been agreed in prev</w:t>
      </w:r>
      <w:r>
        <w:rPr>
          <w:rFonts w:ascii="CG Times (WN)" w:eastAsia="Times New Roman" w:hAnsi="CG Times (WN)" w:hint="eastAsia"/>
          <w:kern w:val="0"/>
          <w:szCs w:val="22"/>
          <w:lang w:val="en-US" w:eastAsia="zh-CN"/>
        </w:rPr>
        <w:t xml:space="preserve">ious meeting that </w:t>
      </w:r>
      <w:r>
        <w:rPr>
          <w:rFonts w:ascii="CG Times (WN)" w:eastAsia="Times New Roman" w:hAnsi="CG Times (WN)"/>
          <w:kern w:val="0"/>
          <w:szCs w:val="22"/>
          <w:lang w:val="en-US" w:eastAsia="zh-CN"/>
        </w:rPr>
        <w:t xml:space="preserve">“If ROHC is configured, the area scope of ROHC continuity is specified in the specification, </w:t>
      </w:r>
      <w:proofErr w:type="gramStart"/>
      <w:r>
        <w:rPr>
          <w:rFonts w:ascii="CG Times (WN)" w:eastAsia="Times New Roman" w:hAnsi="CG Times (WN)"/>
          <w:kern w:val="0"/>
          <w:szCs w:val="22"/>
          <w:lang w:val="en-US" w:eastAsia="zh-CN"/>
        </w:rPr>
        <w:t>i.e.</w:t>
      </w:r>
      <w:proofErr w:type="gramEnd"/>
      <w:r>
        <w:rPr>
          <w:rFonts w:ascii="CG Times (WN)" w:eastAsia="Times New Roman" w:hAnsi="CG Times (WN)"/>
          <w:kern w:val="0"/>
          <w:szCs w:val="22"/>
          <w:lang w:val="en-US" w:eastAsia="zh-CN"/>
        </w:rPr>
        <w:t xml:space="preserve"> </w:t>
      </w:r>
      <w:proofErr w:type="spellStart"/>
      <w:r>
        <w:rPr>
          <w:rFonts w:ascii="CG Times (WN)" w:eastAsia="Times New Roman" w:hAnsi="CG Times (WN)"/>
          <w:kern w:val="0"/>
          <w:szCs w:val="22"/>
          <w:lang w:val="en-US" w:eastAsia="zh-CN"/>
        </w:rPr>
        <w:t>gNB</w:t>
      </w:r>
      <w:proofErr w:type="spellEnd"/>
      <w:r>
        <w:rPr>
          <w:rFonts w:ascii="CG Times (WN)" w:eastAsia="Times New Roman" w:hAnsi="CG Times (WN)"/>
          <w:kern w:val="0"/>
          <w:szCs w:val="22"/>
          <w:lang w:val="en-US" w:eastAsia="zh-CN"/>
        </w:rPr>
        <w:t xml:space="preserve"> configuration is not needed”</w:t>
      </w:r>
      <w:r>
        <w:rPr>
          <w:rFonts w:ascii="CG Times (WN)" w:eastAsia="Times New Roman" w:hAnsi="CG Times (WN)" w:hint="eastAsia"/>
          <w:kern w:val="0"/>
          <w:szCs w:val="22"/>
          <w:lang w:val="en-US" w:eastAsia="zh-CN"/>
        </w:rPr>
        <w:t>. However, the granularity of area scope is still not clear, and the following alternatives can be considere</w:t>
      </w:r>
      <w:r>
        <w:rPr>
          <w:rFonts w:ascii="CG Times (WN)" w:eastAsia="Times New Roman" w:hAnsi="CG Times (WN)" w:hint="eastAsia"/>
          <w:kern w:val="0"/>
          <w:szCs w:val="22"/>
          <w:lang w:val="en-US" w:eastAsia="zh-CN"/>
        </w:rPr>
        <w:t>d.</w:t>
      </w:r>
    </w:p>
    <w:p w14:paraId="02306184" w14:textId="77777777" w:rsidR="006C622A" w:rsidRDefault="0007183E">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The area scope of ROHC continuity is per cell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ROHC continuity is only applicable in the cell where the UE enter INACTIVE mode)</w:t>
      </w:r>
    </w:p>
    <w:p w14:paraId="1519C2B2" w14:textId="77777777" w:rsidR="006C622A" w:rsidRDefault="0007183E">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The area scope of ROHC continuity is RNA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ROHC continuity is only applicable in the RNA where t</w:t>
      </w:r>
      <w:r>
        <w:rPr>
          <w:rFonts w:ascii="CG Times (WN)" w:eastAsia="Times New Roman" w:hAnsi="CG Times (WN)" w:hint="eastAsia"/>
          <w:kern w:val="0"/>
          <w:szCs w:val="22"/>
          <w:lang w:val="en-US" w:eastAsia="zh-CN"/>
        </w:rPr>
        <w:t>he UE enter INACTIVE mode)</w:t>
      </w:r>
    </w:p>
    <w:p w14:paraId="184EF3EC" w14:textId="77777777" w:rsidR="006C622A" w:rsidRDefault="0007183E">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Alt3: The area scope of ROHC continuity is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 xml:space="preserve">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ROHC continuity is only applicable in the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 xml:space="preserve"> where the UE enter INACTIVE mode)</w:t>
      </w:r>
    </w:p>
    <w:p w14:paraId="27F05344"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Although alternative 3 seems most straightforward, considering the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 xml:space="preserve"> ID is transparent to </w:t>
      </w:r>
      <w:r>
        <w:rPr>
          <w:rFonts w:ascii="CG Times (WN)" w:eastAsia="Times New Roman" w:hAnsi="CG Times (WN)" w:hint="eastAsia"/>
          <w:kern w:val="0"/>
          <w:szCs w:val="22"/>
          <w:lang w:val="en-US" w:eastAsia="zh-CN"/>
        </w:rPr>
        <w:t xml:space="preserve">UE, it will be difficult for UE to determine whether the cells are controlled by the same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 xml:space="preserve"> or not. For </w:t>
      </w:r>
      <w:r>
        <w:rPr>
          <w:rFonts w:ascii="CG Times (WN)" w:eastAsia="Times New Roman" w:hAnsi="CG Times (WN)" w:hint="eastAsia"/>
          <w:kern w:val="0"/>
          <w:szCs w:val="22"/>
          <w:lang w:val="en-US" w:eastAsia="zh-CN"/>
        </w:rPr>
        <w:lastRenderedPageBreak/>
        <w:t>the alternative 1&amp;2, considering it will be too restrictive if we restrict the ROHC continuity to the cell where UE enter INACTIVE state, we prefer al</w:t>
      </w:r>
      <w:r>
        <w:rPr>
          <w:rFonts w:ascii="CG Times (WN)" w:eastAsia="Times New Roman" w:hAnsi="CG Times (WN)" w:hint="eastAsia"/>
          <w:kern w:val="0"/>
          <w:szCs w:val="22"/>
          <w:lang w:val="en-US" w:eastAsia="zh-CN"/>
        </w:rPr>
        <w:t>ternative 2.</w:t>
      </w:r>
    </w:p>
    <w:p w14:paraId="49B729D3"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5: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applied to all cells within the RNA</w:t>
      </w:r>
      <w:r>
        <w:rPr>
          <w:rFonts w:ascii="CG Times (WN)" w:eastAsia="Times New Roman" w:hAnsi="CG Times (WN)" w:hint="eastAsia"/>
          <w:b/>
          <w:bCs/>
          <w:kern w:val="0"/>
          <w:szCs w:val="22"/>
          <w:lang w:val="en-US" w:eastAsia="zh-CN"/>
        </w:rPr>
        <w:t xml:space="preserve">. </w:t>
      </w:r>
    </w:p>
    <w:p w14:paraId="12CC607E" w14:textId="77777777" w:rsidR="006C622A" w:rsidRDefault="006C622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59E7746" w14:textId="77777777" w:rsidR="006C622A" w:rsidRDefault="0007183E">
      <w:pPr>
        <w:spacing w:line="260" w:lineRule="auto"/>
        <w:outlineLvl w:val="1"/>
        <w:rPr>
          <w:rFonts w:cs="Arial"/>
          <w:u w:val="single"/>
          <w:lang w:val="en-US" w:eastAsia="zh-CN"/>
        </w:rPr>
      </w:pPr>
      <w:r>
        <w:rPr>
          <w:rFonts w:cs="Arial"/>
          <w:u w:val="single"/>
          <w:lang w:val="en-US" w:eastAsia="zh-CN"/>
        </w:rPr>
        <w:t>TAT in SDT</w:t>
      </w:r>
    </w:p>
    <w:p w14:paraId="6B52866D" w14:textId="77777777" w:rsidR="006C622A" w:rsidRDefault="0007183E">
      <w:pPr>
        <w:pStyle w:val="Comments"/>
        <w:rPr>
          <w:rFonts w:eastAsia="SimSun" w:cs="Arial"/>
          <w:i w:val="0"/>
          <w:iCs/>
          <w:sz w:val="21"/>
          <w:lang w:val="en-US" w:eastAsia="zh-CN"/>
        </w:rPr>
      </w:pPr>
      <w:r>
        <w:rPr>
          <w:rFonts w:eastAsia="SimSun" w:cs="Arial" w:hint="eastAsia"/>
          <w:i w:val="0"/>
          <w:iCs/>
          <w:sz w:val="21"/>
          <w:lang w:val="en-US" w:eastAsia="zh-CN"/>
        </w:rPr>
        <w:t>For TAT in CG-SDT, a</w:t>
      </w:r>
      <w:r>
        <w:rPr>
          <w:rFonts w:eastAsia="SimSun" w:cs="Arial"/>
          <w:i w:val="0"/>
          <w:iCs/>
          <w:sz w:val="21"/>
          <w:lang w:val="en-US" w:eastAsia="zh-CN"/>
        </w:rPr>
        <w:t xml:space="preserve">ccording to agreements “TAT-SDT is started upon receiving the TAT-SDT configuration from </w:t>
      </w:r>
      <w:proofErr w:type="spellStart"/>
      <w:r>
        <w:rPr>
          <w:rFonts w:eastAsia="SimSun" w:cs="Arial"/>
          <w:i w:val="0"/>
          <w:iCs/>
          <w:sz w:val="21"/>
          <w:lang w:val="en-US" w:eastAsia="zh-CN"/>
        </w:rPr>
        <w:t>gNB</w:t>
      </w:r>
      <w:proofErr w:type="spellEnd"/>
      <w:r>
        <w:rPr>
          <w:rFonts w:eastAsia="SimSun" w:cs="Arial"/>
          <w:i w:val="0"/>
          <w:iCs/>
          <w:sz w:val="21"/>
          <w:lang w:val="en-US" w:eastAsia="zh-CN"/>
        </w:rPr>
        <w:t xml:space="preserve">,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w:t>
      </w:r>
      <w:proofErr w:type="spellStart"/>
      <w:r>
        <w:rPr>
          <w:rFonts w:eastAsia="SimSun" w:cs="Arial"/>
          <w:i w:val="0"/>
          <w:iCs/>
          <w:sz w:val="21"/>
          <w:lang w:val="en-US" w:eastAsia="zh-CN"/>
        </w:rPr>
        <w:t>RRCrelease</w:t>
      </w:r>
      <w:proofErr w:type="spellEnd"/>
      <w:r>
        <w:rPr>
          <w:rFonts w:eastAsia="SimSun" w:cs="Arial"/>
          <w:i w:val="0"/>
          <w:iCs/>
          <w:sz w:val="21"/>
          <w:lang w:val="en-US" w:eastAsia="zh-CN"/>
        </w:rPr>
        <w:t xml:space="preserve"> message, </w:t>
      </w:r>
      <w:r>
        <w:rPr>
          <w:rFonts w:eastAsia="SimSun" w:cs="Arial"/>
          <w:i w:val="0"/>
          <w:iCs/>
          <w:sz w:val="21"/>
          <w:highlight w:val="yellow"/>
          <w:lang w:val="en-US" w:eastAsia="zh-CN"/>
        </w:rPr>
        <w:t>and can be (re)started upon reception of TA command.</w:t>
      </w:r>
      <w:r>
        <w:rPr>
          <w:rFonts w:eastAsia="SimSun" w:cs="Arial"/>
          <w:i w:val="0"/>
          <w:iCs/>
          <w:sz w:val="21"/>
          <w:lang w:val="en-US" w:eastAsia="zh-CN"/>
        </w:rPr>
        <w:t xml:space="preserve">”, </w:t>
      </w:r>
      <w:r>
        <w:rPr>
          <w:rFonts w:eastAsia="SimSun" w:cs="Arial" w:hint="eastAsia"/>
          <w:i w:val="0"/>
          <w:iCs/>
          <w:sz w:val="21"/>
          <w:lang w:val="en-US" w:eastAsia="zh-CN"/>
        </w:rPr>
        <w:t>it can be observed the CG-SDT will be used</w:t>
      </w:r>
      <w:r>
        <w:rPr>
          <w:rFonts w:eastAsia="SimSun" w:cs="Arial"/>
          <w:i w:val="0"/>
          <w:iCs/>
          <w:sz w:val="21"/>
          <w:lang w:val="en-US" w:eastAsia="zh-CN"/>
        </w:rPr>
        <w:t xml:space="preserve"> for both CG resource validity verificat</w:t>
      </w:r>
      <w:r>
        <w:rPr>
          <w:rFonts w:eastAsia="SimSun" w:cs="Arial"/>
          <w:i w:val="0"/>
          <w:iCs/>
          <w:sz w:val="21"/>
          <w:lang w:val="en-US" w:eastAsia="zh-CN"/>
        </w:rPr>
        <w:t>ion and TA maintenance during CG-SDT</w:t>
      </w:r>
      <w:r>
        <w:rPr>
          <w:rFonts w:eastAsia="SimSun" w:cs="Arial" w:hint="eastAsia"/>
          <w:i w:val="0"/>
          <w:iCs/>
          <w:sz w:val="21"/>
          <w:lang w:val="en-US" w:eastAsia="zh-CN"/>
        </w:rPr>
        <w:t xml:space="preserve"> subsequent data transmission</w:t>
      </w:r>
      <w:r>
        <w:rPr>
          <w:rFonts w:eastAsia="SimSun" w:cs="Arial"/>
          <w:i w:val="0"/>
          <w:iCs/>
          <w:sz w:val="21"/>
          <w:lang w:val="en-US" w:eastAsia="zh-CN"/>
        </w:rPr>
        <w:t xml:space="preserve">. </w:t>
      </w:r>
    </w:p>
    <w:p w14:paraId="57FC072C" w14:textId="77777777" w:rsidR="006C622A" w:rsidRDefault="0007183E">
      <w:pPr>
        <w:pStyle w:val="Comments"/>
        <w:rPr>
          <w:rFonts w:eastAsia="SimSun" w:cs="Arial"/>
          <w:b/>
          <w:bCs/>
          <w:i w:val="0"/>
          <w:iCs/>
          <w:sz w:val="21"/>
          <w:lang w:val="en-US" w:eastAsia="zh-CN"/>
        </w:rPr>
      </w:pPr>
      <w:r>
        <w:rPr>
          <w:rFonts w:eastAsia="SimSun" w:cs="Arial" w:hint="eastAsia"/>
          <w:b/>
          <w:bCs/>
          <w:i w:val="0"/>
          <w:iCs/>
          <w:sz w:val="21"/>
          <w:lang w:val="en-US" w:eastAsia="zh-CN"/>
        </w:rPr>
        <w:t>Proposal 6: For CG-SDT, TAT-SDT will be used</w:t>
      </w:r>
      <w:r>
        <w:rPr>
          <w:rFonts w:eastAsia="SimSun" w:cs="Arial"/>
          <w:b/>
          <w:bCs/>
          <w:i w:val="0"/>
          <w:iCs/>
          <w:sz w:val="21"/>
          <w:lang w:val="en-US" w:eastAsia="zh-CN"/>
        </w:rPr>
        <w:t xml:space="preserve"> for both CG resource validity verification and TA maintenance during CG-SDT</w:t>
      </w:r>
      <w:r>
        <w:rPr>
          <w:rFonts w:eastAsia="SimSun" w:cs="Arial" w:hint="eastAsia"/>
          <w:b/>
          <w:bCs/>
          <w:i w:val="0"/>
          <w:iCs/>
          <w:sz w:val="21"/>
          <w:lang w:val="en-US" w:eastAsia="zh-CN"/>
        </w:rPr>
        <w:t xml:space="preserve"> subsequent data transmission</w:t>
      </w:r>
    </w:p>
    <w:p w14:paraId="7AABFB52" w14:textId="77777777" w:rsidR="006C622A" w:rsidRDefault="0007183E">
      <w:pPr>
        <w:pStyle w:val="Comments"/>
        <w:rPr>
          <w:rFonts w:eastAsia="SimSun" w:cs="Arial"/>
          <w:i w:val="0"/>
          <w:iCs/>
          <w:sz w:val="21"/>
          <w:lang w:val="en-US" w:eastAsia="zh-CN"/>
        </w:rPr>
      </w:pPr>
      <w:r>
        <w:rPr>
          <w:rFonts w:eastAsia="SimSun" w:cs="Arial"/>
          <w:i w:val="0"/>
          <w:iCs/>
          <w:sz w:val="21"/>
          <w:lang w:val="en-US" w:eastAsia="zh-CN"/>
        </w:rPr>
        <w:t>For RA-SDT, although the CG resource validity check is not needed, TA maintenance is still required during RA-SDT. Therefore, one issue is which TAT t</w:t>
      </w:r>
      <w:r>
        <w:rPr>
          <w:rFonts w:eastAsia="SimSun" w:cs="Arial"/>
          <w:i w:val="0"/>
          <w:iCs/>
          <w:sz w:val="21"/>
          <w:lang w:val="en-US" w:eastAsia="zh-CN"/>
        </w:rPr>
        <w:t xml:space="preserve">imer will be used </w:t>
      </w:r>
      <w:r>
        <w:rPr>
          <w:rFonts w:eastAsia="SimSun" w:cs="Arial" w:hint="eastAsia"/>
          <w:i w:val="0"/>
          <w:iCs/>
          <w:sz w:val="21"/>
          <w:lang w:val="en-US" w:eastAsia="zh-CN"/>
        </w:rPr>
        <w:t xml:space="preserve">for </w:t>
      </w:r>
      <w:r>
        <w:rPr>
          <w:rFonts w:eastAsia="SimSun" w:cs="Arial"/>
          <w:i w:val="0"/>
          <w:iCs/>
          <w:sz w:val="21"/>
          <w:lang w:val="en-US" w:eastAsia="zh-CN"/>
        </w:rPr>
        <w:t>RA-SDT:</w:t>
      </w:r>
    </w:p>
    <w:p w14:paraId="32D57EE9" w14:textId="77777777" w:rsidR="006C622A" w:rsidRDefault="0007183E">
      <w:pPr>
        <w:pStyle w:val="Comments"/>
        <w:numPr>
          <w:ilvl w:val="0"/>
          <w:numId w:val="8"/>
        </w:numPr>
        <w:rPr>
          <w:rFonts w:eastAsia="SimSun" w:cs="Arial"/>
          <w:i w:val="0"/>
          <w:iCs/>
          <w:sz w:val="21"/>
          <w:lang w:val="en-US" w:eastAsia="zh-CN"/>
        </w:rPr>
      </w:pPr>
      <w:r>
        <w:rPr>
          <w:rFonts w:eastAsia="SimSun" w:cs="Arial"/>
          <w:i w:val="0"/>
          <w:iCs/>
          <w:sz w:val="21"/>
          <w:lang w:val="en-US" w:eastAsia="zh-CN"/>
        </w:rPr>
        <w:t>Alt1: Normal TAT timer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w:t>
      </w:r>
      <w:proofErr w:type="spellStart"/>
      <w:r>
        <w:rPr>
          <w:rFonts w:eastAsia="SimSun" w:cs="Arial"/>
          <w:i w:val="0"/>
          <w:iCs/>
          <w:sz w:val="21"/>
          <w:lang w:val="en-US" w:eastAsia="zh-CN"/>
        </w:rPr>
        <w:t>timeAlignmentTimerCommon</w:t>
      </w:r>
      <w:proofErr w:type="spellEnd"/>
      <w:r>
        <w:rPr>
          <w:rFonts w:eastAsia="SimSun" w:cs="Arial"/>
          <w:i w:val="0"/>
          <w:iCs/>
          <w:sz w:val="21"/>
          <w:lang w:val="en-US" w:eastAsia="zh-CN"/>
        </w:rPr>
        <w:t xml:space="preserve"> in SIB)</w:t>
      </w:r>
    </w:p>
    <w:p w14:paraId="43728FE1" w14:textId="77777777" w:rsidR="006C622A" w:rsidRDefault="0007183E">
      <w:pPr>
        <w:pStyle w:val="Comments"/>
        <w:numPr>
          <w:ilvl w:val="0"/>
          <w:numId w:val="8"/>
        </w:numPr>
        <w:rPr>
          <w:rFonts w:eastAsia="SimSun" w:cs="Arial"/>
          <w:i w:val="0"/>
          <w:iCs/>
          <w:sz w:val="21"/>
          <w:lang w:val="en-US" w:eastAsia="zh-CN"/>
        </w:rPr>
      </w:pPr>
      <w:r>
        <w:rPr>
          <w:rFonts w:eastAsia="SimSun" w:cs="Arial"/>
          <w:i w:val="0"/>
          <w:iCs/>
          <w:sz w:val="21"/>
          <w:lang w:val="en-US" w:eastAsia="zh-CN"/>
        </w:rPr>
        <w:t>Alt2: Separate TAT timer for SDT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TAT-SDT)</w:t>
      </w:r>
    </w:p>
    <w:p w14:paraId="1D067F69" w14:textId="77777777" w:rsidR="006C622A" w:rsidRDefault="0007183E">
      <w:pPr>
        <w:pStyle w:val="Comments"/>
        <w:rPr>
          <w:rFonts w:eastAsia="SimSun" w:cs="Arial"/>
          <w:i w:val="0"/>
          <w:iCs/>
          <w:sz w:val="21"/>
          <w:lang w:val="en-US" w:eastAsia="zh-CN"/>
        </w:rPr>
      </w:pPr>
      <w:r>
        <w:rPr>
          <w:rFonts w:eastAsia="SimSun" w:cs="Arial"/>
          <w:i w:val="0"/>
          <w:iCs/>
          <w:sz w:val="21"/>
          <w:lang w:val="en-US" w:eastAsia="zh-CN"/>
        </w:rPr>
        <w:t xml:space="preserve">Since the TAT-SDT will be (re)started upon reception of TA command, once the TAT-SDT is introduced, it seems it can be used for RA-SDT as well. </w:t>
      </w:r>
      <w:r>
        <w:rPr>
          <w:rFonts w:eastAsia="SimSun" w:cs="Arial" w:hint="eastAsia"/>
          <w:i w:val="0"/>
          <w:iCs/>
          <w:sz w:val="21"/>
          <w:lang w:val="en-US" w:eastAsia="zh-CN"/>
        </w:rPr>
        <w:t xml:space="preserve">In addition, if a separate TAT timer is used in RA-SDT for TA maintenance, then UE has to maintain two separate </w:t>
      </w:r>
      <w:r>
        <w:rPr>
          <w:rFonts w:eastAsia="SimSun" w:cs="Arial" w:hint="eastAsia"/>
          <w:i w:val="0"/>
          <w:iCs/>
          <w:sz w:val="21"/>
          <w:lang w:val="en-US" w:eastAsia="zh-CN"/>
        </w:rPr>
        <w:t>TAT timer simultaneously in case CG SDT is configured but RA-SDT is used in case no qualified CG resource can be selected. Therefore, to minimize the complexity in both standardization and implementation, we prefer to use a common TAT timer for SDT (</w:t>
      </w:r>
      <w:proofErr w:type="gramStart"/>
      <w:r>
        <w:rPr>
          <w:rFonts w:eastAsia="SimSun" w:cs="Arial" w:hint="eastAsia"/>
          <w:i w:val="0"/>
          <w:iCs/>
          <w:sz w:val="21"/>
          <w:lang w:val="en-US" w:eastAsia="zh-CN"/>
        </w:rPr>
        <w:t>i.e.</w:t>
      </w:r>
      <w:proofErr w:type="gramEnd"/>
      <w:r>
        <w:rPr>
          <w:rFonts w:eastAsia="SimSun" w:cs="Arial" w:hint="eastAsia"/>
          <w:i w:val="0"/>
          <w:iCs/>
          <w:sz w:val="21"/>
          <w:lang w:val="en-US" w:eastAsia="zh-CN"/>
        </w:rPr>
        <w:t xml:space="preserve"> T</w:t>
      </w:r>
      <w:r>
        <w:rPr>
          <w:rFonts w:eastAsia="SimSun" w:cs="Arial" w:hint="eastAsia"/>
          <w:i w:val="0"/>
          <w:iCs/>
          <w:sz w:val="21"/>
          <w:lang w:val="en-US" w:eastAsia="zh-CN"/>
        </w:rPr>
        <w:t>AT-SDT), and the TAT-SDT will be used for both CG resource verification and TA maintenance in subsequent SDT transmission.</w:t>
      </w:r>
    </w:p>
    <w:p w14:paraId="1D529C5D" w14:textId="77777777" w:rsidR="006C622A" w:rsidRDefault="0007183E">
      <w:pPr>
        <w:pStyle w:val="Comments"/>
        <w:rPr>
          <w:rFonts w:eastAsia="SimSun" w:cs="Arial"/>
          <w:b/>
          <w:bCs/>
          <w:i w:val="0"/>
          <w:iCs/>
          <w:sz w:val="21"/>
          <w:lang w:val="en-US" w:eastAsia="zh-CN"/>
        </w:rPr>
      </w:pPr>
      <w:r>
        <w:rPr>
          <w:rFonts w:eastAsia="SimSun" w:cs="Arial" w:hint="eastAsia"/>
          <w:b/>
          <w:bCs/>
          <w:i w:val="0"/>
          <w:iCs/>
          <w:sz w:val="21"/>
          <w:lang w:val="en-US" w:eastAsia="zh-CN"/>
        </w:rPr>
        <w:t>Proposal 7: TAT-SDT is used in both RA-SDT and CG-SDT, and TAT-SDT will be used for CG resource verification and TA maintenance in su</w:t>
      </w:r>
      <w:r>
        <w:rPr>
          <w:rFonts w:eastAsia="SimSun" w:cs="Arial" w:hint="eastAsia"/>
          <w:b/>
          <w:bCs/>
          <w:i w:val="0"/>
          <w:iCs/>
          <w:sz w:val="21"/>
          <w:lang w:val="en-US" w:eastAsia="zh-CN"/>
        </w:rPr>
        <w:t>bsequent SDT transmission.</w:t>
      </w:r>
    </w:p>
    <w:p w14:paraId="05455EA0" w14:textId="77777777" w:rsidR="006C622A" w:rsidRDefault="0007183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Moreover, considering normal TAT timer will be used in CONNECTED mode and TAT-SDT timer will be used in INACTIVE mode for SDT (at least for CG-SDT), also considering reconfiguration with sync is not always needed after the recept</w:t>
      </w:r>
      <w:r>
        <w:rPr>
          <w:rFonts w:hint="eastAsia"/>
          <w:lang w:val="en-US" w:eastAsia="zh-CN"/>
        </w:rPr>
        <w:t xml:space="preserve">ion of </w:t>
      </w:r>
      <w:proofErr w:type="spellStart"/>
      <w:r>
        <w:rPr>
          <w:rFonts w:hint="eastAsia"/>
          <w:lang w:val="en-US" w:eastAsia="zh-CN"/>
        </w:rPr>
        <w:t>RRCResume</w:t>
      </w:r>
      <w:proofErr w:type="spellEnd"/>
      <w:r>
        <w:rPr>
          <w:rFonts w:hint="eastAsia"/>
          <w:lang w:val="en-US" w:eastAsia="zh-CN"/>
        </w:rPr>
        <w:t>, it seems new operation is required when UE switch from INACTIVE SDT to CONNECTED mode.</w:t>
      </w:r>
    </w:p>
    <w:p w14:paraId="514BD480" w14:textId="77777777" w:rsidR="006C622A" w:rsidRDefault="0007183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Observation 1: Considering different TA timer will be used for SDT and CONNECTED mode (</w:t>
      </w:r>
      <w:proofErr w:type="gramStart"/>
      <w:r>
        <w:rPr>
          <w:rFonts w:hint="eastAsia"/>
          <w:b/>
          <w:bCs/>
          <w:lang w:val="en-US" w:eastAsia="zh-CN"/>
        </w:rPr>
        <w:t>i.e.</w:t>
      </w:r>
      <w:proofErr w:type="gramEnd"/>
      <w:r>
        <w:rPr>
          <w:rFonts w:hint="eastAsia"/>
          <w:b/>
          <w:bCs/>
          <w:lang w:val="en-US" w:eastAsia="zh-CN"/>
        </w:rPr>
        <w:t xml:space="preserve"> TAT-SDT, and normal TAT) and reconfiguration with sync is n</w:t>
      </w:r>
      <w:r>
        <w:rPr>
          <w:rFonts w:hint="eastAsia"/>
          <w:b/>
          <w:bCs/>
          <w:lang w:val="en-US" w:eastAsia="zh-CN"/>
        </w:rPr>
        <w:t>ot always needed after the reception of RRC Resume message, new operation is needed to handle the TAT when UE switch from INACTIVE SDT to CONNECTED mode.</w:t>
      </w:r>
    </w:p>
    <w:p w14:paraId="65240B10" w14:textId="77777777" w:rsidR="006C622A" w:rsidRDefault="0007183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lastRenderedPageBreak/>
        <w:t>Since the normal TAT will be used in CONNECTED mode, once the RRC resume message is received during SD</w:t>
      </w:r>
      <w:r>
        <w:rPr>
          <w:rFonts w:hint="eastAsia"/>
          <w:lang w:val="en-US" w:eastAsia="zh-CN"/>
        </w:rPr>
        <w:t xml:space="preserve">T, the UE should stop the TAT-SDT and start the normal TAT timer. For the start of normal TAT, another issue is whether we need to have an initial value for the TAT timer, considering the TAT-SDT has already been running for a period of time.  </w:t>
      </w:r>
    </w:p>
    <w:p w14:paraId="32C9597A" w14:textId="77777777" w:rsidR="006C622A" w:rsidRDefault="0007183E">
      <w:pPr>
        <w:pStyle w:val="Comments"/>
        <w:rPr>
          <w:rFonts w:eastAsia="SimSun" w:cs="Arial"/>
          <w:b/>
          <w:bCs/>
          <w:i w:val="0"/>
          <w:iCs/>
          <w:sz w:val="21"/>
          <w:lang w:val="en-US" w:eastAsia="zh-CN"/>
        </w:rPr>
      </w:pPr>
      <w:r>
        <w:rPr>
          <w:rFonts w:eastAsia="SimSun" w:cs="Arial" w:hint="eastAsia"/>
          <w:b/>
          <w:bCs/>
          <w:i w:val="0"/>
          <w:iCs/>
          <w:sz w:val="21"/>
          <w:lang w:val="en-US" w:eastAsia="zh-CN"/>
        </w:rPr>
        <w:t>Proposal 8:</w:t>
      </w:r>
      <w:r>
        <w:rPr>
          <w:rFonts w:eastAsia="SimSun" w:cs="Arial" w:hint="eastAsia"/>
          <w:b/>
          <w:bCs/>
          <w:i w:val="0"/>
          <w:iCs/>
          <w:sz w:val="21"/>
          <w:lang w:val="en-US" w:eastAsia="zh-CN"/>
        </w:rPr>
        <w:t xml:space="preserve"> Once the RRC resume message is received during SDT, the UE should start normal TAT and stop TAT-SDT. FFS whether an initial value is needed for the normal TAT timer, taking the value of TAT-SDT into account (</w:t>
      </w:r>
      <w:proofErr w:type="gramStart"/>
      <w:r>
        <w:rPr>
          <w:rFonts w:eastAsia="SimSun" w:cs="Arial" w:hint="eastAsia"/>
          <w:b/>
          <w:bCs/>
          <w:i w:val="0"/>
          <w:iCs/>
          <w:sz w:val="21"/>
          <w:lang w:val="en-US" w:eastAsia="zh-CN"/>
        </w:rPr>
        <w:t>e.g.</w:t>
      </w:r>
      <w:proofErr w:type="gramEnd"/>
      <w:r>
        <w:rPr>
          <w:rFonts w:eastAsia="SimSun" w:cs="Arial" w:hint="eastAsia"/>
          <w:b/>
          <w:bCs/>
          <w:i w:val="0"/>
          <w:iCs/>
          <w:sz w:val="21"/>
          <w:lang w:val="en-US" w:eastAsia="zh-CN"/>
        </w:rPr>
        <w:t xml:space="preserve"> set the initial value of TAT to current va</w:t>
      </w:r>
      <w:r>
        <w:rPr>
          <w:rFonts w:eastAsia="SimSun" w:cs="Arial" w:hint="eastAsia"/>
          <w:b/>
          <w:bCs/>
          <w:i w:val="0"/>
          <w:iCs/>
          <w:sz w:val="21"/>
          <w:lang w:val="en-US" w:eastAsia="zh-CN"/>
        </w:rPr>
        <w:t>lue of TAT-SDT).</w:t>
      </w:r>
    </w:p>
    <w:p w14:paraId="717A700A" w14:textId="77777777" w:rsidR="006C622A" w:rsidRDefault="006C622A">
      <w:pPr>
        <w:pStyle w:val="Comments"/>
        <w:rPr>
          <w:rFonts w:eastAsia="SimSun" w:cs="Arial"/>
          <w:b/>
          <w:bCs/>
          <w:i w:val="0"/>
          <w:iCs/>
          <w:sz w:val="21"/>
          <w:lang w:val="en-US" w:eastAsia="zh-CN"/>
        </w:rPr>
      </w:pPr>
    </w:p>
    <w:p w14:paraId="01291DDB" w14:textId="77777777" w:rsidR="006C622A" w:rsidRDefault="0007183E">
      <w:pPr>
        <w:spacing w:line="260" w:lineRule="auto"/>
        <w:outlineLvl w:val="1"/>
        <w:rPr>
          <w:rFonts w:cs="Arial"/>
          <w:u w:val="single"/>
          <w:lang w:val="en-US" w:eastAsia="zh-CN"/>
        </w:rPr>
      </w:pPr>
      <w:r>
        <w:rPr>
          <w:rFonts w:cs="Arial" w:hint="eastAsia"/>
          <w:u w:val="single"/>
          <w:lang w:val="en-US" w:eastAsia="zh-CN"/>
        </w:rPr>
        <w:t>RACH resource used in subsequent data transmission during SDT</w:t>
      </w:r>
    </w:p>
    <w:p w14:paraId="216B1588" w14:textId="77777777" w:rsidR="006C622A" w:rsidRDefault="0007183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Considering subsequent data transmission is supported for SDT, the RACH can be triggered by SR during SDT, one issue is for such RACH triggered during SDT by legacy reason (</w:t>
      </w:r>
      <w:proofErr w:type="gramStart"/>
      <w:r>
        <w:rPr>
          <w:rFonts w:hint="eastAsia"/>
          <w:lang w:val="en-US" w:eastAsia="zh-CN"/>
        </w:rPr>
        <w:t>e.g</w:t>
      </w:r>
      <w:r>
        <w:rPr>
          <w:rFonts w:hint="eastAsia"/>
          <w:lang w:val="en-US" w:eastAsia="zh-CN"/>
        </w:rPr>
        <w:t>.</w:t>
      </w:r>
      <w:proofErr w:type="gramEnd"/>
      <w:r>
        <w:rPr>
          <w:rFonts w:hint="eastAsia"/>
          <w:lang w:val="en-US" w:eastAsia="zh-CN"/>
        </w:rPr>
        <w:t xml:space="preserve"> SR), which RA resource should be used: the legacy RACH resource or SDT specific RACH resource. </w:t>
      </w:r>
    </w:p>
    <w:p w14:paraId="2425B403" w14:textId="77777777" w:rsidR="006C622A" w:rsidRDefault="0007183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Since SDT specific RACH resource is configured, to minimize the impact on legacy RACH resource, for both RA SDT and CG SDT, we prefer to use SDT specific RACH</w:t>
      </w:r>
      <w:r>
        <w:rPr>
          <w:rFonts w:hint="eastAsia"/>
          <w:lang w:val="en-US" w:eastAsia="zh-CN"/>
        </w:rPr>
        <w:t xml:space="preserve"> resource in SDT for all the RACH triggered during SDT.</w:t>
      </w:r>
    </w:p>
    <w:p w14:paraId="55779F82" w14:textId="77777777" w:rsidR="006C622A" w:rsidRDefault="0007183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9: For both RA-SDT and CG-SDT, the SDT specific RACH resource will be used for all the RACH procedure triggered during SDT.</w:t>
      </w:r>
    </w:p>
    <w:p w14:paraId="692F1A33" w14:textId="77777777" w:rsidR="006C622A" w:rsidRDefault="006C622A">
      <w:pPr>
        <w:pStyle w:val="Comments"/>
        <w:rPr>
          <w:rFonts w:eastAsia="SimSun" w:cs="Arial"/>
          <w:b/>
          <w:bCs/>
          <w:i w:val="0"/>
          <w:iCs/>
          <w:sz w:val="21"/>
          <w:lang w:val="en-US" w:eastAsia="zh-CN"/>
        </w:rPr>
      </w:pPr>
    </w:p>
    <w:p w14:paraId="4F0D0220" w14:textId="77777777" w:rsidR="006C622A" w:rsidRDefault="0007183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117592C"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analysis above, the </w:t>
      </w:r>
      <w:r>
        <w:rPr>
          <w:rFonts w:ascii="CG Times (WN)" w:eastAsia="Times New Roman" w:hAnsi="CG Times (WN)" w:hint="eastAsia"/>
          <w:kern w:val="0"/>
          <w:szCs w:val="22"/>
          <w:lang w:val="en-US" w:eastAsia="zh-CN"/>
        </w:rPr>
        <w:t>following observations and proposals are provided:</w:t>
      </w:r>
    </w:p>
    <w:p w14:paraId="37C4B4C4" w14:textId="77777777" w:rsidR="006C622A" w:rsidRDefault="0007183E">
      <w:pPr>
        <w:widowControl/>
        <w:overflowPunct w:val="0"/>
        <w:autoSpaceDE w:val="0"/>
        <w:autoSpaceDN w:val="0"/>
        <w:adjustRightInd w:val="0"/>
        <w:spacing w:after="180" w:line="240" w:lineRule="auto"/>
        <w:jc w:val="left"/>
        <w:textAlignment w:val="baseline"/>
        <w:outlineLvl w:val="1"/>
        <w:rPr>
          <w:u w:val="single"/>
          <w:lang w:val="en-US" w:eastAsia="zh-CN"/>
        </w:rPr>
      </w:pPr>
      <w:bookmarkStart w:id="10" w:name="_Toc18404543"/>
      <w:bookmarkStart w:id="11" w:name="_Toc18403976"/>
      <w:bookmarkStart w:id="12" w:name="_Toc18413612"/>
      <w:r>
        <w:rPr>
          <w:rFonts w:hint="eastAsia"/>
          <w:u w:val="single"/>
          <w:lang w:val="en-US" w:eastAsia="ko-KR"/>
        </w:rPr>
        <w:t>Buffer Status Reporting</w:t>
      </w:r>
      <w:r>
        <w:rPr>
          <w:rFonts w:hint="eastAsia"/>
          <w:u w:val="single"/>
          <w:lang w:val="en-US" w:eastAsia="zh-CN"/>
        </w:rPr>
        <w:t xml:space="preserve"> and </w:t>
      </w:r>
      <w:r>
        <w:rPr>
          <w:rFonts w:hint="eastAsia"/>
          <w:u w:val="single"/>
          <w:lang w:val="en-US" w:eastAsia="ko-KR"/>
        </w:rPr>
        <w:t>Scheduling Request</w:t>
      </w:r>
    </w:p>
    <w:p w14:paraId="10579D7F"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allowed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0C41BFE5"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SDT specific BSR configuration should be introduced in SIB. If the SDT specific BSR configuration is broadcasted, then the broadcasted configuration will be</w:t>
      </w:r>
      <w:r>
        <w:rPr>
          <w:rFonts w:ascii="CG Times (WN)" w:eastAsia="Times New Roman" w:hAnsi="CG Times (WN)" w:hint="eastAsia"/>
          <w:b/>
          <w:bCs/>
          <w:kern w:val="0"/>
          <w:szCs w:val="22"/>
          <w:lang w:val="en-US" w:eastAsia="zh-CN"/>
        </w:rPr>
        <w:t xml:space="preserve"> used. Otherwise, the default configuration should be used.</w:t>
      </w:r>
    </w:p>
    <w:p w14:paraId="516B74DB" w14:textId="77777777" w:rsidR="006C622A" w:rsidRDefault="0007183E">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PHR reporting</w:t>
      </w:r>
    </w:p>
    <w:p w14:paraId="226EC609"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The PHR should be configurable for SDT, and it is up to NW to determine whether PHR is needed or not in SDT.</w:t>
      </w:r>
    </w:p>
    <w:p w14:paraId="0EAFFDE5"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Proposal 4: Separate SDT PHR configuration should be included</w:t>
      </w:r>
      <w:r>
        <w:rPr>
          <w:rFonts w:ascii="CG Times (WN)" w:eastAsia="Times New Roman" w:hAnsi="CG Times (WN)" w:hint="eastAsia"/>
          <w:b/>
          <w:bCs/>
          <w:kern w:val="0"/>
          <w:szCs w:val="22"/>
          <w:lang w:val="en-US" w:eastAsia="zh-CN"/>
        </w:rPr>
        <w:t xml:space="preserve"> in SIB. If the SDT PHR configuration is not broadcasted, then the default configuration will be used </w:t>
      </w:r>
    </w:p>
    <w:p w14:paraId="10ABFDA1" w14:textId="77777777" w:rsidR="006C622A" w:rsidRDefault="0007183E">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ROHC continuity</w:t>
      </w:r>
    </w:p>
    <w:p w14:paraId="312DCF3F"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5: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applied to al</w:t>
      </w:r>
      <w:r>
        <w:rPr>
          <w:rFonts w:ascii="CG Times (WN)" w:eastAsia="Times New Roman" w:hAnsi="CG Times (WN)"/>
          <w:b/>
          <w:bCs/>
          <w:kern w:val="0"/>
          <w:szCs w:val="22"/>
          <w:lang w:val="en-US" w:eastAsia="zh-CN"/>
        </w:rPr>
        <w:t>l cells within the RNA</w:t>
      </w:r>
      <w:r>
        <w:rPr>
          <w:rFonts w:ascii="CG Times (WN)" w:eastAsia="Times New Roman" w:hAnsi="CG Times (WN)" w:hint="eastAsia"/>
          <w:b/>
          <w:bCs/>
          <w:kern w:val="0"/>
          <w:szCs w:val="22"/>
          <w:lang w:val="en-US" w:eastAsia="zh-CN"/>
        </w:rPr>
        <w:t xml:space="preserve">. </w:t>
      </w:r>
    </w:p>
    <w:p w14:paraId="457481D9" w14:textId="77777777" w:rsidR="006C622A" w:rsidRDefault="006C622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21A63322" w14:textId="77777777" w:rsidR="006C622A" w:rsidRDefault="0007183E">
      <w:pPr>
        <w:spacing w:line="260" w:lineRule="auto"/>
        <w:outlineLvl w:val="1"/>
        <w:rPr>
          <w:rFonts w:ascii="CG Times (WN)" w:eastAsia="Times New Roman" w:hAnsi="CG Times (WN)"/>
          <w:b/>
          <w:bCs/>
          <w:kern w:val="0"/>
          <w:szCs w:val="22"/>
          <w:lang w:val="en-US" w:eastAsia="zh-CN"/>
        </w:rPr>
      </w:pPr>
      <w:r>
        <w:rPr>
          <w:rFonts w:cs="Arial"/>
          <w:u w:val="single"/>
          <w:lang w:val="en-US" w:eastAsia="zh-CN"/>
        </w:rPr>
        <w:t>TAT in SDT</w:t>
      </w:r>
    </w:p>
    <w:p w14:paraId="000455E7" w14:textId="77777777" w:rsidR="006C622A" w:rsidRDefault="0007183E">
      <w:pPr>
        <w:pStyle w:val="Comments"/>
        <w:rPr>
          <w:rFonts w:eastAsia="SimSun" w:cs="Arial"/>
          <w:b/>
          <w:bCs/>
          <w:i w:val="0"/>
          <w:iCs/>
          <w:sz w:val="21"/>
          <w:lang w:val="en-US" w:eastAsia="zh-CN"/>
        </w:rPr>
      </w:pPr>
      <w:r>
        <w:rPr>
          <w:rFonts w:eastAsia="SimSun" w:cs="Arial" w:hint="eastAsia"/>
          <w:b/>
          <w:bCs/>
          <w:i w:val="0"/>
          <w:iCs/>
          <w:sz w:val="21"/>
          <w:lang w:val="en-US" w:eastAsia="zh-CN"/>
        </w:rPr>
        <w:t>Proposal 6: For CG-SDT, TAT-SDT will be used</w:t>
      </w:r>
      <w:r>
        <w:rPr>
          <w:rFonts w:eastAsia="SimSun" w:cs="Arial"/>
          <w:b/>
          <w:bCs/>
          <w:i w:val="0"/>
          <w:iCs/>
          <w:sz w:val="21"/>
          <w:lang w:val="en-US" w:eastAsia="zh-CN"/>
        </w:rPr>
        <w:t xml:space="preserve"> for both CG resource validity verification and TA maintenance during CG-SDT</w:t>
      </w:r>
      <w:r>
        <w:rPr>
          <w:rFonts w:eastAsia="SimSun" w:cs="Arial" w:hint="eastAsia"/>
          <w:b/>
          <w:bCs/>
          <w:i w:val="0"/>
          <w:iCs/>
          <w:sz w:val="21"/>
          <w:lang w:val="en-US" w:eastAsia="zh-CN"/>
        </w:rPr>
        <w:t xml:space="preserve"> subsequent data transmission</w:t>
      </w:r>
    </w:p>
    <w:p w14:paraId="41603B63" w14:textId="77777777" w:rsidR="006C622A" w:rsidRDefault="0007183E">
      <w:pPr>
        <w:pStyle w:val="Comments"/>
        <w:rPr>
          <w:rFonts w:eastAsia="SimSun" w:cs="Arial"/>
          <w:b/>
          <w:bCs/>
          <w:i w:val="0"/>
          <w:iCs/>
          <w:sz w:val="21"/>
          <w:lang w:val="en-US" w:eastAsia="zh-CN"/>
        </w:rPr>
      </w:pPr>
      <w:r>
        <w:rPr>
          <w:rFonts w:eastAsia="SimSun" w:cs="Arial" w:hint="eastAsia"/>
          <w:b/>
          <w:bCs/>
          <w:i w:val="0"/>
          <w:iCs/>
          <w:sz w:val="21"/>
          <w:lang w:val="en-US" w:eastAsia="zh-CN"/>
        </w:rPr>
        <w:t xml:space="preserve">Proposal 7: TAT-SDT is used in both RA-SDT and CG-SDT, and </w:t>
      </w:r>
      <w:r>
        <w:rPr>
          <w:rFonts w:eastAsia="SimSun" w:cs="Arial" w:hint="eastAsia"/>
          <w:b/>
          <w:bCs/>
          <w:i w:val="0"/>
          <w:iCs/>
          <w:sz w:val="21"/>
          <w:lang w:val="en-US" w:eastAsia="zh-CN"/>
        </w:rPr>
        <w:t>TAT-SDT will be used for CG resource verification and TA maintenance in subsequent SDT transmission.</w:t>
      </w:r>
    </w:p>
    <w:p w14:paraId="23D30ED9" w14:textId="77777777" w:rsidR="006C622A" w:rsidRDefault="0007183E">
      <w:pPr>
        <w:widowControl/>
        <w:overflowPunct w:val="0"/>
        <w:autoSpaceDE w:val="0"/>
        <w:autoSpaceDN w:val="0"/>
        <w:adjustRightInd w:val="0"/>
        <w:spacing w:after="180" w:line="240" w:lineRule="auto"/>
        <w:jc w:val="left"/>
        <w:textAlignment w:val="baseline"/>
        <w:rPr>
          <w:i/>
          <w:iCs/>
          <w:lang w:val="en-US" w:eastAsia="zh-CN"/>
        </w:rPr>
      </w:pPr>
      <w:r>
        <w:rPr>
          <w:rFonts w:hint="eastAsia"/>
          <w:i/>
          <w:iCs/>
          <w:lang w:val="en-US" w:eastAsia="zh-CN"/>
        </w:rPr>
        <w:t>Observation 1: Considering different TA timer will be used for SDT and CONNECTED mode (</w:t>
      </w:r>
      <w:proofErr w:type="gramStart"/>
      <w:r>
        <w:rPr>
          <w:rFonts w:hint="eastAsia"/>
          <w:i/>
          <w:iCs/>
          <w:lang w:val="en-US" w:eastAsia="zh-CN"/>
        </w:rPr>
        <w:t>i.e.</w:t>
      </w:r>
      <w:proofErr w:type="gramEnd"/>
      <w:r>
        <w:rPr>
          <w:rFonts w:hint="eastAsia"/>
          <w:i/>
          <w:iCs/>
          <w:lang w:val="en-US" w:eastAsia="zh-CN"/>
        </w:rPr>
        <w:t xml:space="preserve"> TAT-SDT, and normal TAT) and reconfiguration with sync is not a</w:t>
      </w:r>
      <w:r>
        <w:rPr>
          <w:rFonts w:hint="eastAsia"/>
          <w:i/>
          <w:iCs/>
          <w:lang w:val="en-US" w:eastAsia="zh-CN"/>
        </w:rPr>
        <w:t>lways needed after the reception of RRC Resume message, new operation is needed to handle the TAT when UE switch from INACTIVE SDT to CONNECTED mode.</w:t>
      </w:r>
    </w:p>
    <w:p w14:paraId="72ED5FEA" w14:textId="77777777" w:rsidR="006C622A" w:rsidRDefault="0007183E">
      <w:pPr>
        <w:pStyle w:val="Comments"/>
        <w:rPr>
          <w:rFonts w:eastAsia="SimSun" w:cs="Arial"/>
          <w:b/>
          <w:bCs/>
          <w:i w:val="0"/>
          <w:iCs/>
          <w:sz w:val="21"/>
          <w:lang w:val="en-US" w:eastAsia="zh-CN"/>
        </w:rPr>
      </w:pPr>
      <w:r>
        <w:rPr>
          <w:rFonts w:eastAsia="SimSun" w:cs="Arial" w:hint="eastAsia"/>
          <w:b/>
          <w:bCs/>
          <w:i w:val="0"/>
          <w:iCs/>
          <w:sz w:val="21"/>
          <w:lang w:val="en-US" w:eastAsia="zh-CN"/>
        </w:rPr>
        <w:t>Proposal 8: Once the RRC resume message is received during SDT, the UE should start normal TAT and stop TA</w:t>
      </w:r>
      <w:r>
        <w:rPr>
          <w:rFonts w:eastAsia="SimSun" w:cs="Arial" w:hint="eastAsia"/>
          <w:b/>
          <w:bCs/>
          <w:i w:val="0"/>
          <w:iCs/>
          <w:sz w:val="21"/>
          <w:lang w:val="en-US" w:eastAsia="zh-CN"/>
        </w:rPr>
        <w:t>T-SDT. FFS whether an initial value is needed for the normal TAT timer, taking the value of TAT-SDT into account (</w:t>
      </w:r>
      <w:proofErr w:type="gramStart"/>
      <w:r>
        <w:rPr>
          <w:rFonts w:eastAsia="SimSun" w:cs="Arial" w:hint="eastAsia"/>
          <w:b/>
          <w:bCs/>
          <w:i w:val="0"/>
          <w:iCs/>
          <w:sz w:val="21"/>
          <w:lang w:val="en-US" w:eastAsia="zh-CN"/>
        </w:rPr>
        <w:t>e.g.</w:t>
      </w:r>
      <w:proofErr w:type="gramEnd"/>
      <w:r>
        <w:rPr>
          <w:rFonts w:eastAsia="SimSun" w:cs="Arial" w:hint="eastAsia"/>
          <w:b/>
          <w:bCs/>
          <w:i w:val="0"/>
          <w:iCs/>
          <w:sz w:val="21"/>
          <w:lang w:val="en-US" w:eastAsia="zh-CN"/>
        </w:rPr>
        <w:t xml:space="preserve"> set the initial value of TAT to current value of TAT-SDT).</w:t>
      </w:r>
    </w:p>
    <w:p w14:paraId="17857FFB" w14:textId="77777777" w:rsidR="006C622A" w:rsidRDefault="006C622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778B9047" w14:textId="77777777" w:rsidR="006C622A" w:rsidRDefault="0007183E">
      <w:pPr>
        <w:spacing w:line="260" w:lineRule="auto"/>
        <w:outlineLvl w:val="1"/>
        <w:rPr>
          <w:rFonts w:cs="Arial"/>
          <w:u w:val="single"/>
          <w:lang w:val="en-US" w:eastAsia="zh-CN"/>
        </w:rPr>
      </w:pPr>
      <w:r>
        <w:rPr>
          <w:rFonts w:cs="Arial" w:hint="eastAsia"/>
          <w:u w:val="single"/>
          <w:lang w:val="en-US" w:eastAsia="zh-CN"/>
        </w:rPr>
        <w:t>RACH resource used in subsequent data transmission during SDT</w:t>
      </w:r>
    </w:p>
    <w:p w14:paraId="402AFAAA" w14:textId="77777777" w:rsidR="006C622A" w:rsidRDefault="0007183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hint="eastAsia"/>
          <w:b/>
          <w:bCs/>
          <w:lang w:val="en-US" w:eastAsia="zh-CN"/>
        </w:rPr>
        <w:t>Proposal 9: For</w:t>
      </w:r>
      <w:r>
        <w:rPr>
          <w:rFonts w:hint="eastAsia"/>
          <w:b/>
          <w:bCs/>
          <w:lang w:val="en-US" w:eastAsia="zh-CN"/>
        </w:rPr>
        <w:t xml:space="preserve"> both RA-SDT and CG-SDT, the SDT specific RACH resource will be used for all the RACH procedure triggered during SDT.</w:t>
      </w:r>
    </w:p>
    <w:p w14:paraId="4BDF23CC" w14:textId="77777777" w:rsidR="006C622A" w:rsidRDefault="0007183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4A6D335B" w14:textId="77777777" w:rsidR="006C622A" w:rsidRDefault="0007183E">
      <w:pPr>
        <w:pStyle w:val="NormalWeb"/>
        <w:numPr>
          <w:ilvl w:val="0"/>
          <w:numId w:val="9"/>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5A5819A0" w14:textId="77777777" w:rsidR="006C622A" w:rsidRDefault="006C622A">
      <w:pPr>
        <w:pStyle w:val="NormalWeb"/>
        <w:spacing w:before="75" w:beforeAutospacing="0" w:after="75" w:afterAutospacing="0" w:line="315" w:lineRule="atLeast"/>
        <w:rPr>
          <w:rFonts w:cs="Arial"/>
          <w:color w:val="000000"/>
          <w:sz w:val="21"/>
        </w:rPr>
      </w:pPr>
    </w:p>
    <w:p w14:paraId="00DBFABA" w14:textId="77777777" w:rsidR="006C622A" w:rsidRDefault="006C622A">
      <w:pPr>
        <w:pStyle w:val="NormalWeb"/>
        <w:spacing w:before="75" w:beforeAutospacing="0" w:after="75" w:afterAutospacing="0" w:line="315" w:lineRule="atLeast"/>
        <w:rPr>
          <w:rFonts w:cs="Arial"/>
          <w:color w:val="000000"/>
          <w:sz w:val="21"/>
        </w:rPr>
      </w:pPr>
    </w:p>
    <w:sectPr w:rsidR="006C622A">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C7EA8" w14:textId="77777777" w:rsidR="0007183E" w:rsidRDefault="0007183E">
      <w:pPr>
        <w:spacing w:after="0" w:line="240" w:lineRule="auto"/>
      </w:pPr>
      <w:r>
        <w:separator/>
      </w:r>
    </w:p>
  </w:endnote>
  <w:endnote w:type="continuationSeparator" w:id="0">
    <w:p w14:paraId="3324113E" w14:textId="77777777" w:rsidR="0007183E" w:rsidRDefault="00071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ED96" w14:textId="77777777" w:rsidR="006C622A" w:rsidRDefault="000718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7E708D" w14:textId="77777777" w:rsidR="006C622A" w:rsidRDefault="006C62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EEE9" w14:textId="77777777" w:rsidR="006C622A" w:rsidRDefault="006C62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0C30" w14:textId="77777777" w:rsidR="00A35CA6" w:rsidRDefault="00A35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DF99" w14:textId="77777777" w:rsidR="0007183E" w:rsidRDefault="0007183E">
      <w:pPr>
        <w:spacing w:after="0" w:line="240" w:lineRule="auto"/>
      </w:pPr>
      <w:r>
        <w:separator/>
      </w:r>
    </w:p>
  </w:footnote>
  <w:footnote w:type="continuationSeparator" w:id="0">
    <w:p w14:paraId="4E87D7FC" w14:textId="77777777" w:rsidR="0007183E" w:rsidRDefault="00071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95B8" w14:textId="77777777" w:rsidR="00A35CA6" w:rsidRDefault="00A35C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F689" w14:textId="77777777" w:rsidR="006C622A" w:rsidRDefault="006C62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F0F5" w14:textId="77777777" w:rsidR="00A35CA6" w:rsidRDefault="00A35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8774E"/>
    <w:multiLevelType w:val="singleLevel"/>
    <w:tmpl w:val="C2C8774E"/>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C4FC09"/>
    <w:multiLevelType w:val="singleLevel"/>
    <w:tmpl w:val="15C4FC09"/>
    <w:lvl w:ilvl="0">
      <w:start w:val="1"/>
      <w:numFmt w:val="bullet"/>
      <w:lvlText w:val=""/>
      <w:lvlJc w:val="left"/>
      <w:pPr>
        <w:ind w:left="420" w:hanging="420"/>
      </w:pPr>
      <w:rPr>
        <w:rFonts w:ascii="Wingdings" w:hAnsi="Wingdings" w:hint="default"/>
      </w:rPr>
    </w:lvl>
  </w:abstractNum>
  <w:abstractNum w:abstractNumId="4" w15:restartNumberingAfterBreak="0">
    <w:nsid w:val="276A8524"/>
    <w:multiLevelType w:val="singleLevel"/>
    <w:tmpl w:val="276A8524"/>
    <w:lvl w:ilvl="0">
      <w:start w:val="1"/>
      <w:numFmt w:val="bullet"/>
      <w:lvlText w:val=""/>
      <w:lvlJc w:val="left"/>
      <w:pPr>
        <w:ind w:left="42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7"/>
  </w:num>
  <w:num w:numId="3">
    <w:abstractNumId w:val="5"/>
  </w:num>
  <w:num w:numId="4">
    <w:abstractNumId w:val="6"/>
  </w:num>
  <w:num w:numId="5">
    <w:abstractNumId w:val="2"/>
  </w:num>
  <w:num w:numId="6">
    <w:abstractNumId w:val="0"/>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9DD"/>
    <w:rsid w:val="0000394D"/>
    <w:rsid w:val="000055B1"/>
    <w:rsid w:val="0000762A"/>
    <w:rsid w:val="000103E7"/>
    <w:rsid w:val="0001278E"/>
    <w:rsid w:val="000130CA"/>
    <w:rsid w:val="00013FAD"/>
    <w:rsid w:val="00014361"/>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035"/>
    <w:rsid w:val="00043923"/>
    <w:rsid w:val="00043FCA"/>
    <w:rsid w:val="00044EB3"/>
    <w:rsid w:val="00045EDE"/>
    <w:rsid w:val="00046E3D"/>
    <w:rsid w:val="00050FC9"/>
    <w:rsid w:val="000513C0"/>
    <w:rsid w:val="00055961"/>
    <w:rsid w:val="000563ED"/>
    <w:rsid w:val="000603D6"/>
    <w:rsid w:val="00063276"/>
    <w:rsid w:val="0007093A"/>
    <w:rsid w:val="0007183E"/>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425A"/>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15B"/>
    <w:rsid w:val="000E1993"/>
    <w:rsid w:val="000E1EF3"/>
    <w:rsid w:val="000E3B8A"/>
    <w:rsid w:val="000F0A49"/>
    <w:rsid w:val="000F0A7B"/>
    <w:rsid w:val="000F3A3D"/>
    <w:rsid w:val="000F3ACB"/>
    <w:rsid w:val="000F4CFF"/>
    <w:rsid w:val="000F4D2A"/>
    <w:rsid w:val="00100030"/>
    <w:rsid w:val="00101A67"/>
    <w:rsid w:val="00111739"/>
    <w:rsid w:val="00111C96"/>
    <w:rsid w:val="00111CE0"/>
    <w:rsid w:val="00111DF0"/>
    <w:rsid w:val="001135C5"/>
    <w:rsid w:val="00114117"/>
    <w:rsid w:val="001147C0"/>
    <w:rsid w:val="001156DF"/>
    <w:rsid w:val="001174C9"/>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23D5"/>
    <w:rsid w:val="00145AFF"/>
    <w:rsid w:val="00147740"/>
    <w:rsid w:val="00150BAB"/>
    <w:rsid w:val="00152557"/>
    <w:rsid w:val="001536F1"/>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4996"/>
    <w:rsid w:val="00185C8F"/>
    <w:rsid w:val="00185CD6"/>
    <w:rsid w:val="00187FEF"/>
    <w:rsid w:val="001909C3"/>
    <w:rsid w:val="00190A8D"/>
    <w:rsid w:val="0019547D"/>
    <w:rsid w:val="00195E1F"/>
    <w:rsid w:val="00196645"/>
    <w:rsid w:val="001978AE"/>
    <w:rsid w:val="00197997"/>
    <w:rsid w:val="001A384E"/>
    <w:rsid w:val="001A4015"/>
    <w:rsid w:val="001A6AFD"/>
    <w:rsid w:val="001B21A1"/>
    <w:rsid w:val="001B337C"/>
    <w:rsid w:val="001B5AE5"/>
    <w:rsid w:val="001B7027"/>
    <w:rsid w:val="001B7817"/>
    <w:rsid w:val="001B7C67"/>
    <w:rsid w:val="001C0CED"/>
    <w:rsid w:val="001C1105"/>
    <w:rsid w:val="001C17C6"/>
    <w:rsid w:val="001C22DE"/>
    <w:rsid w:val="001C2385"/>
    <w:rsid w:val="001C2AF5"/>
    <w:rsid w:val="001C2B3C"/>
    <w:rsid w:val="001C3C4C"/>
    <w:rsid w:val="001C7202"/>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1F70B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A27"/>
    <w:rsid w:val="002C708B"/>
    <w:rsid w:val="002D00AA"/>
    <w:rsid w:val="002D044D"/>
    <w:rsid w:val="002D0F0A"/>
    <w:rsid w:val="002D35FA"/>
    <w:rsid w:val="002D3797"/>
    <w:rsid w:val="002D37AB"/>
    <w:rsid w:val="002D4F4B"/>
    <w:rsid w:val="002D6461"/>
    <w:rsid w:val="002D650F"/>
    <w:rsid w:val="002D675B"/>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08A6"/>
    <w:rsid w:val="00321077"/>
    <w:rsid w:val="003213D2"/>
    <w:rsid w:val="00322A09"/>
    <w:rsid w:val="00322EDB"/>
    <w:rsid w:val="0032502D"/>
    <w:rsid w:val="003268BB"/>
    <w:rsid w:val="0033001C"/>
    <w:rsid w:val="00330072"/>
    <w:rsid w:val="00330B4E"/>
    <w:rsid w:val="0033176D"/>
    <w:rsid w:val="003326BA"/>
    <w:rsid w:val="003334A8"/>
    <w:rsid w:val="0033386B"/>
    <w:rsid w:val="00333BCC"/>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2C8"/>
    <w:rsid w:val="00385C87"/>
    <w:rsid w:val="0038630E"/>
    <w:rsid w:val="00387F14"/>
    <w:rsid w:val="00391402"/>
    <w:rsid w:val="00391F87"/>
    <w:rsid w:val="003922AD"/>
    <w:rsid w:val="00393338"/>
    <w:rsid w:val="00393391"/>
    <w:rsid w:val="0039385C"/>
    <w:rsid w:val="00394FC5"/>
    <w:rsid w:val="00395A59"/>
    <w:rsid w:val="00395A61"/>
    <w:rsid w:val="00396952"/>
    <w:rsid w:val="00397C52"/>
    <w:rsid w:val="003A150D"/>
    <w:rsid w:val="003A1CC8"/>
    <w:rsid w:val="003A26BC"/>
    <w:rsid w:val="003A2A06"/>
    <w:rsid w:val="003A3ACC"/>
    <w:rsid w:val="003A4C78"/>
    <w:rsid w:val="003A5159"/>
    <w:rsid w:val="003A552B"/>
    <w:rsid w:val="003A6761"/>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1591"/>
    <w:rsid w:val="00402720"/>
    <w:rsid w:val="00402985"/>
    <w:rsid w:val="00404053"/>
    <w:rsid w:val="00406593"/>
    <w:rsid w:val="004069AC"/>
    <w:rsid w:val="004069B2"/>
    <w:rsid w:val="0040782D"/>
    <w:rsid w:val="00410408"/>
    <w:rsid w:val="00411FDA"/>
    <w:rsid w:val="00413229"/>
    <w:rsid w:val="00413D6F"/>
    <w:rsid w:val="004146A6"/>
    <w:rsid w:val="004150C6"/>
    <w:rsid w:val="0041530C"/>
    <w:rsid w:val="004228A3"/>
    <w:rsid w:val="004229AC"/>
    <w:rsid w:val="00423D3B"/>
    <w:rsid w:val="004245A3"/>
    <w:rsid w:val="00424A48"/>
    <w:rsid w:val="004268F9"/>
    <w:rsid w:val="004274EC"/>
    <w:rsid w:val="00427917"/>
    <w:rsid w:val="004302C5"/>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DD7"/>
    <w:rsid w:val="00462F02"/>
    <w:rsid w:val="00464D52"/>
    <w:rsid w:val="00466EDC"/>
    <w:rsid w:val="00467368"/>
    <w:rsid w:val="00467D25"/>
    <w:rsid w:val="00470697"/>
    <w:rsid w:val="00471013"/>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6BB8"/>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59D"/>
    <w:rsid w:val="00534869"/>
    <w:rsid w:val="0053653D"/>
    <w:rsid w:val="005371D2"/>
    <w:rsid w:val="00537528"/>
    <w:rsid w:val="005417DB"/>
    <w:rsid w:val="00542ED7"/>
    <w:rsid w:val="00545A76"/>
    <w:rsid w:val="005474C3"/>
    <w:rsid w:val="005505EB"/>
    <w:rsid w:val="005506C7"/>
    <w:rsid w:val="005514AA"/>
    <w:rsid w:val="00553234"/>
    <w:rsid w:val="00553A61"/>
    <w:rsid w:val="0055402E"/>
    <w:rsid w:val="00555B71"/>
    <w:rsid w:val="0055689F"/>
    <w:rsid w:val="005604D2"/>
    <w:rsid w:val="00560AD9"/>
    <w:rsid w:val="00561349"/>
    <w:rsid w:val="00561E2F"/>
    <w:rsid w:val="00563B02"/>
    <w:rsid w:val="005657FC"/>
    <w:rsid w:val="00565A48"/>
    <w:rsid w:val="00567054"/>
    <w:rsid w:val="00567A9A"/>
    <w:rsid w:val="005701E9"/>
    <w:rsid w:val="0057047D"/>
    <w:rsid w:val="00570CF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F0C"/>
    <w:rsid w:val="005B66D2"/>
    <w:rsid w:val="005B69F7"/>
    <w:rsid w:val="005B7842"/>
    <w:rsid w:val="005C1A52"/>
    <w:rsid w:val="005C1AC7"/>
    <w:rsid w:val="005C20A4"/>
    <w:rsid w:val="005C2356"/>
    <w:rsid w:val="005C756C"/>
    <w:rsid w:val="005D3051"/>
    <w:rsid w:val="005D57F1"/>
    <w:rsid w:val="005D680C"/>
    <w:rsid w:val="005D7B3F"/>
    <w:rsid w:val="005E06D3"/>
    <w:rsid w:val="005E27C0"/>
    <w:rsid w:val="005E2ED6"/>
    <w:rsid w:val="005E4F1C"/>
    <w:rsid w:val="005E7B04"/>
    <w:rsid w:val="005E7DA7"/>
    <w:rsid w:val="005F05DE"/>
    <w:rsid w:val="005F097D"/>
    <w:rsid w:val="005F0E57"/>
    <w:rsid w:val="005F0EB2"/>
    <w:rsid w:val="005F1004"/>
    <w:rsid w:val="005F1FAE"/>
    <w:rsid w:val="005F2924"/>
    <w:rsid w:val="005F42AD"/>
    <w:rsid w:val="005F4A5E"/>
    <w:rsid w:val="005F4F6B"/>
    <w:rsid w:val="005F56A6"/>
    <w:rsid w:val="005F6041"/>
    <w:rsid w:val="005F76AD"/>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744"/>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25"/>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C622A"/>
    <w:rsid w:val="006D0533"/>
    <w:rsid w:val="006D5430"/>
    <w:rsid w:val="006D63EF"/>
    <w:rsid w:val="006D783C"/>
    <w:rsid w:val="006D79B7"/>
    <w:rsid w:val="006D7C19"/>
    <w:rsid w:val="006D7CA8"/>
    <w:rsid w:val="006E264E"/>
    <w:rsid w:val="006E2FE4"/>
    <w:rsid w:val="006E36C6"/>
    <w:rsid w:val="006E3B73"/>
    <w:rsid w:val="006E7570"/>
    <w:rsid w:val="006F1491"/>
    <w:rsid w:val="006F2252"/>
    <w:rsid w:val="006F256F"/>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6A07"/>
    <w:rsid w:val="00727D4D"/>
    <w:rsid w:val="00731322"/>
    <w:rsid w:val="00731E30"/>
    <w:rsid w:val="00733A47"/>
    <w:rsid w:val="00733B79"/>
    <w:rsid w:val="00736CDD"/>
    <w:rsid w:val="00736FEF"/>
    <w:rsid w:val="00737516"/>
    <w:rsid w:val="00741230"/>
    <w:rsid w:val="007421FB"/>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07"/>
    <w:rsid w:val="007828E0"/>
    <w:rsid w:val="00782C72"/>
    <w:rsid w:val="00785145"/>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578"/>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4DB8"/>
    <w:rsid w:val="008267CB"/>
    <w:rsid w:val="00827512"/>
    <w:rsid w:val="00830624"/>
    <w:rsid w:val="00831489"/>
    <w:rsid w:val="00835356"/>
    <w:rsid w:val="00836D5A"/>
    <w:rsid w:val="0083795A"/>
    <w:rsid w:val="00837C9F"/>
    <w:rsid w:val="00841B23"/>
    <w:rsid w:val="00843379"/>
    <w:rsid w:val="008436F0"/>
    <w:rsid w:val="00843DAA"/>
    <w:rsid w:val="00843F40"/>
    <w:rsid w:val="0084446A"/>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33C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2DC9"/>
    <w:rsid w:val="008F34E9"/>
    <w:rsid w:val="008F7007"/>
    <w:rsid w:val="00900594"/>
    <w:rsid w:val="009026D8"/>
    <w:rsid w:val="00902833"/>
    <w:rsid w:val="009039E2"/>
    <w:rsid w:val="009068B3"/>
    <w:rsid w:val="0091077D"/>
    <w:rsid w:val="0091196A"/>
    <w:rsid w:val="00911DC9"/>
    <w:rsid w:val="009123FF"/>
    <w:rsid w:val="00914451"/>
    <w:rsid w:val="00916287"/>
    <w:rsid w:val="009164CD"/>
    <w:rsid w:val="00917271"/>
    <w:rsid w:val="0091740C"/>
    <w:rsid w:val="00920297"/>
    <w:rsid w:val="00922A9F"/>
    <w:rsid w:val="00922F50"/>
    <w:rsid w:val="00924EF9"/>
    <w:rsid w:val="00925478"/>
    <w:rsid w:val="00925A8F"/>
    <w:rsid w:val="00925D8E"/>
    <w:rsid w:val="009269F5"/>
    <w:rsid w:val="00930CAD"/>
    <w:rsid w:val="00932B78"/>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2FA"/>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7B3"/>
    <w:rsid w:val="00985DB7"/>
    <w:rsid w:val="009861C6"/>
    <w:rsid w:val="00986B3C"/>
    <w:rsid w:val="009903A8"/>
    <w:rsid w:val="00991070"/>
    <w:rsid w:val="00991598"/>
    <w:rsid w:val="00992DCD"/>
    <w:rsid w:val="00994392"/>
    <w:rsid w:val="00994702"/>
    <w:rsid w:val="00996E62"/>
    <w:rsid w:val="00997875"/>
    <w:rsid w:val="00997D39"/>
    <w:rsid w:val="00997FD5"/>
    <w:rsid w:val="009A157F"/>
    <w:rsid w:val="009A1CA8"/>
    <w:rsid w:val="009A3664"/>
    <w:rsid w:val="009A405A"/>
    <w:rsid w:val="009A5082"/>
    <w:rsid w:val="009A5580"/>
    <w:rsid w:val="009A618E"/>
    <w:rsid w:val="009B155B"/>
    <w:rsid w:val="009B183F"/>
    <w:rsid w:val="009B1C17"/>
    <w:rsid w:val="009B1F5B"/>
    <w:rsid w:val="009B3DB8"/>
    <w:rsid w:val="009B4769"/>
    <w:rsid w:val="009B4FF0"/>
    <w:rsid w:val="009C2086"/>
    <w:rsid w:val="009C3006"/>
    <w:rsid w:val="009C5F45"/>
    <w:rsid w:val="009D159F"/>
    <w:rsid w:val="009D2A16"/>
    <w:rsid w:val="009D6952"/>
    <w:rsid w:val="009D7A4E"/>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3697"/>
    <w:rsid w:val="00A2486B"/>
    <w:rsid w:val="00A25160"/>
    <w:rsid w:val="00A259B5"/>
    <w:rsid w:val="00A25FDC"/>
    <w:rsid w:val="00A275B2"/>
    <w:rsid w:val="00A2769F"/>
    <w:rsid w:val="00A27E76"/>
    <w:rsid w:val="00A30EE7"/>
    <w:rsid w:val="00A31A13"/>
    <w:rsid w:val="00A31A7B"/>
    <w:rsid w:val="00A323D7"/>
    <w:rsid w:val="00A32701"/>
    <w:rsid w:val="00A32A1D"/>
    <w:rsid w:val="00A330EB"/>
    <w:rsid w:val="00A334CC"/>
    <w:rsid w:val="00A35CA6"/>
    <w:rsid w:val="00A36AD1"/>
    <w:rsid w:val="00A40F4B"/>
    <w:rsid w:val="00A4263A"/>
    <w:rsid w:val="00A44B89"/>
    <w:rsid w:val="00A44BE1"/>
    <w:rsid w:val="00A4500D"/>
    <w:rsid w:val="00A4796B"/>
    <w:rsid w:val="00A504A8"/>
    <w:rsid w:val="00A50E73"/>
    <w:rsid w:val="00A527D9"/>
    <w:rsid w:val="00A53CDD"/>
    <w:rsid w:val="00A542B8"/>
    <w:rsid w:val="00A54719"/>
    <w:rsid w:val="00A56C31"/>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27EC"/>
    <w:rsid w:val="00A9330E"/>
    <w:rsid w:val="00A93FD6"/>
    <w:rsid w:val="00A9447A"/>
    <w:rsid w:val="00A95040"/>
    <w:rsid w:val="00A95088"/>
    <w:rsid w:val="00A957EB"/>
    <w:rsid w:val="00A960AC"/>
    <w:rsid w:val="00AA3298"/>
    <w:rsid w:val="00AA41AA"/>
    <w:rsid w:val="00AA435D"/>
    <w:rsid w:val="00AA6295"/>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2A08"/>
    <w:rsid w:val="00AF75DB"/>
    <w:rsid w:val="00AF7EEF"/>
    <w:rsid w:val="00B002E0"/>
    <w:rsid w:val="00B0053F"/>
    <w:rsid w:val="00B0132A"/>
    <w:rsid w:val="00B029C1"/>
    <w:rsid w:val="00B02E20"/>
    <w:rsid w:val="00B07903"/>
    <w:rsid w:val="00B07968"/>
    <w:rsid w:val="00B07B19"/>
    <w:rsid w:val="00B10FBA"/>
    <w:rsid w:val="00B1189C"/>
    <w:rsid w:val="00B12666"/>
    <w:rsid w:val="00B126DA"/>
    <w:rsid w:val="00B15903"/>
    <w:rsid w:val="00B1604A"/>
    <w:rsid w:val="00B166C8"/>
    <w:rsid w:val="00B23604"/>
    <w:rsid w:val="00B243E6"/>
    <w:rsid w:val="00B2566A"/>
    <w:rsid w:val="00B26EDD"/>
    <w:rsid w:val="00B2704A"/>
    <w:rsid w:val="00B306C5"/>
    <w:rsid w:val="00B37C79"/>
    <w:rsid w:val="00B41694"/>
    <w:rsid w:val="00B41D95"/>
    <w:rsid w:val="00B41F8E"/>
    <w:rsid w:val="00B425D5"/>
    <w:rsid w:val="00B426BB"/>
    <w:rsid w:val="00B427B9"/>
    <w:rsid w:val="00B42907"/>
    <w:rsid w:val="00B43371"/>
    <w:rsid w:val="00B44CA2"/>
    <w:rsid w:val="00B454AE"/>
    <w:rsid w:val="00B45626"/>
    <w:rsid w:val="00B463A1"/>
    <w:rsid w:val="00B5008D"/>
    <w:rsid w:val="00B50D18"/>
    <w:rsid w:val="00B52464"/>
    <w:rsid w:val="00B53EAE"/>
    <w:rsid w:val="00B55CF3"/>
    <w:rsid w:val="00B57187"/>
    <w:rsid w:val="00B57304"/>
    <w:rsid w:val="00B609A8"/>
    <w:rsid w:val="00B63FBA"/>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2D1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301"/>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0593"/>
    <w:rsid w:val="00C41E00"/>
    <w:rsid w:val="00C41E55"/>
    <w:rsid w:val="00C43809"/>
    <w:rsid w:val="00C44FC9"/>
    <w:rsid w:val="00C45167"/>
    <w:rsid w:val="00C460E8"/>
    <w:rsid w:val="00C473CE"/>
    <w:rsid w:val="00C50168"/>
    <w:rsid w:val="00C5115B"/>
    <w:rsid w:val="00C5180C"/>
    <w:rsid w:val="00C518AE"/>
    <w:rsid w:val="00C52111"/>
    <w:rsid w:val="00C5216F"/>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46A4"/>
    <w:rsid w:val="00C76180"/>
    <w:rsid w:val="00C76F2B"/>
    <w:rsid w:val="00C8086B"/>
    <w:rsid w:val="00C82D97"/>
    <w:rsid w:val="00C84D14"/>
    <w:rsid w:val="00C8602A"/>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46DD"/>
    <w:rsid w:val="00CB5048"/>
    <w:rsid w:val="00CB59EC"/>
    <w:rsid w:val="00CB6A1C"/>
    <w:rsid w:val="00CC10DA"/>
    <w:rsid w:val="00CC156D"/>
    <w:rsid w:val="00CC58C3"/>
    <w:rsid w:val="00CD229F"/>
    <w:rsid w:val="00CE2D1F"/>
    <w:rsid w:val="00CE316E"/>
    <w:rsid w:val="00CE5118"/>
    <w:rsid w:val="00CE52F0"/>
    <w:rsid w:val="00CF121A"/>
    <w:rsid w:val="00CF18A3"/>
    <w:rsid w:val="00CF356A"/>
    <w:rsid w:val="00CF4A61"/>
    <w:rsid w:val="00CF4B9A"/>
    <w:rsid w:val="00D0108B"/>
    <w:rsid w:val="00D029CB"/>
    <w:rsid w:val="00D038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67F1E"/>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756"/>
    <w:rsid w:val="00DA1A93"/>
    <w:rsid w:val="00DA7973"/>
    <w:rsid w:val="00DB3689"/>
    <w:rsid w:val="00DB3767"/>
    <w:rsid w:val="00DB39E0"/>
    <w:rsid w:val="00DB7729"/>
    <w:rsid w:val="00DB7BB9"/>
    <w:rsid w:val="00DC22BE"/>
    <w:rsid w:val="00DC5F62"/>
    <w:rsid w:val="00DC7FAF"/>
    <w:rsid w:val="00DD02BA"/>
    <w:rsid w:val="00DD100B"/>
    <w:rsid w:val="00DD1F9C"/>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1A8D"/>
    <w:rsid w:val="00E248EB"/>
    <w:rsid w:val="00E2626C"/>
    <w:rsid w:val="00E27FC2"/>
    <w:rsid w:val="00E31912"/>
    <w:rsid w:val="00E31B60"/>
    <w:rsid w:val="00E34D88"/>
    <w:rsid w:val="00E353DB"/>
    <w:rsid w:val="00E36375"/>
    <w:rsid w:val="00E37A8B"/>
    <w:rsid w:val="00E40CEF"/>
    <w:rsid w:val="00E40D48"/>
    <w:rsid w:val="00E40DBF"/>
    <w:rsid w:val="00E42C98"/>
    <w:rsid w:val="00E43798"/>
    <w:rsid w:val="00E43842"/>
    <w:rsid w:val="00E44765"/>
    <w:rsid w:val="00E468CA"/>
    <w:rsid w:val="00E46CE7"/>
    <w:rsid w:val="00E4765A"/>
    <w:rsid w:val="00E47D3F"/>
    <w:rsid w:val="00E505FB"/>
    <w:rsid w:val="00E521EE"/>
    <w:rsid w:val="00E52223"/>
    <w:rsid w:val="00E56E3E"/>
    <w:rsid w:val="00E6166E"/>
    <w:rsid w:val="00E625D5"/>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03DA"/>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3510"/>
    <w:rsid w:val="00EC465B"/>
    <w:rsid w:val="00EC5A04"/>
    <w:rsid w:val="00EC7D8F"/>
    <w:rsid w:val="00EC7E1A"/>
    <w:rsid w:val="00ED015F"/>
    <w:rsid w:val="00ED09F7"/>
    <w:rsid w:val="00ED0AA9"/>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96E8F"/>
    <w:rsid w:val="00FA18A4"/>
    <w:rsid w:val="00FA34B5"/>
    <w:rsid w:val="00FA6529"/>
    <w:rsid w:val="00FA7E04"/>
    <w:rsid w:val="00FB0158"/>
    <w:rsid w:val="00FB06CF"/>
    <w:rsid w:val="00FB16BC"/>
    <w:rsid w:val="00FB22D1"/>
    <w:rsid w:val="00FB25A0"/>
    <w:rsid w:val="00FB2D7C"/>
    <w:rsid w:val="00FB49D7"/>
    <w:rsid w:val="00FB4F37"/>
    <w:rsid w:val="00FB79F1"/>
    <w:rsid w:val="00FB7E5A"/>
    <w:rsid w:val="00FC07B8"/>
    <w:rsid w:val="00FC13D8"/>
    <w:rsid w:val="00FC6E54"/>
    <w:rsid w:val="00FD1379"/>
    <w:rsid w:val="00FD33A2"/>
    <w:rsid w:val="00FD6206"/>
    <w:rsid w:val="00FD741D"/>
    <w:rsid w:val="00FE09E7"/>
    <w:rsid w:val="00FE2161"/>
    <w:rsid w:val="00FE3D39"/>
    <w:rsid w:val="00FE4CF1"/>
    <w:rsid w:val="00FE58B6"/>
    <w:rsid w:val="00FE7430"/>
    <w:rsid w:val="00FF0471"/>
    <w:rsid w:val="00FF0771"/>
    <w:rsid w:val="00FF0AAD"/>
    <w:rsid w:val="00FF29CE"/>
    <w:rsid w:val="00FF2E7C"/>
    <w:rsid w:val="00FF33F4"/>
    <w:rsid w:val="00FF3FC8"/>
    <w:rsid w:val="010B71C0"/>
    <w:rsid w:val="018A6CC3"/>
    <w:rsid w:val="01E06294"/>
    <w:rsid w:val="02090528"/>
    <w:rsid w:val="02096E03"/>
    <w:rsid w:val="02146837"/>
    <w:rsid w:val="021A15C5"/>
    <w:rsid w:val="02434415"/>
    <w:rsid w:val="02642BDE"/>
    <w:rsid w:val="0276200A"/>
    <w:rsid w:val="02852DB6"/>
    <w:rsid w:val="02AF57A1"/>
    <w:rsid w:val="02C63FE5"/>
    <w:rsid w:val="02D95C7E"/>
    <w:rsid w:val="02E4553E"/>
    <w:rsid w:val="03824ED4"/>
    <w:rsid w:val="038F7095"/>
    <w:rsid w:val="04030D06"/>
    <w:rsid w:val="0427122D"/>
    <w:rsid w:val="044C7ED7"/>
    <w:rsid w:val="047E4DAC"/>
    <w:rsid w:val="04DB2AE7"/>
    <w:rsid w:val="04F92500"/>
    <w:rsid w:val="051C6529"/>
    <w:rsid w:val="05EE0D58"/>
    <w:rsid w:val="06270E5D"/>
    <w:rsid w:val="06301129"/>
    <w:rsid w:val="06404A21"/>
    <w:rsid w:val="06D5551E"/>
    <w:rsid w:val="07332E45"/>
    <w:rsid w:val="07393CB3"/>
    <w:rsid w:val="07645E7E"/>
    <w:rsid w:val="07815AA2"/>
    <w:rsid w:val="07AA2874"/>
    <w:rsid w:val="07E03F75"/>
    <w:rsid w:val="08036844"/>
    <w:rsid w:val="08355013"/>
    <w:rsid w:val="083828A5"/>
    <w:rsid w:val="083A4172"/>
    <w:rsid w:val="086A0D8F"/>
    <w:rsid w:val="089875E8"/>
    <w:rsid w:val="089B3B68"/>
    <w:rsid w:val="08BE6204"/>
    <w:rsid w:val="08FE5DC9"/>
    <w:rsid w:val="091C3CE5"/>
    <w:rsid w:val="09253E9C"/>
    <w:rsid w:val="0929781C"/>
    <w:rsid w:val="095438C6"/>
    <w:rsid w:val="096673EF"/>
    <w:rsid w:val="097561D7"/>
    <w:rsid w:val="098B1EF5"/>
    <w:rsid w:val="09911B95"/>
    <w:rsid w:val="09945F3A"/>
    <w:rsid w:val="09CB5A6C"/>
    <w:rsid w:val="09D923D4"/>
    <w:rsid w:val="09F00BD8"/>
    <w:rsid w:val="09F318B6"/>
    <w:rsid w:val="0A1A74F5"/>
    <w:rsid w:val="0A1D73FF"/>
    <w:rsid w:val="0A6B7D54"/>
    <w:rsid w:val="0A890F60"/>
    <w:rsid w:val="0AEC356E"/>
    <w:rsid w:val="0B3B0728"/>
    <w:rsid w:val="0B545B44"/>
    <w:rsid w:val="0B781215"/>
    <w:rsid w:val="0BA70987"/>
    <w:rsid w:val="0C4A196E"/>
    <w:rsid w:val="0CB65273"/>
    <w:rsid w:val="0CBA1583"/>
    <w:rsid w:val="0CDE04BD"/>
    <w:rsid w:val="0D137EB2"/>
    <w:rsid w:val="0D1E43AF"/>
    <w:rsid w:val="0D6F0DB7"/>
    <w:rsid w:val="0D7914AE"/>
    <w:rsid w:val="0DC045AB"/>
    <w:rsid w:val="0DFF7D07"/>
    <w:rsid w:val="0E1C22C4"/>
    <w:rsid w:val="0E2E32CE"/>
    <w:rsid w:val="0E374CA0"/>
    <w:rsid w:val="0E4435F5"/>
    <w:rsid w:val="0E5C0893"/>
    <w:rsid w:val="0E6F0740"/>
    <w:rsid w:val="0E8D2ACE"/>
    <w:rsid w:val="0EC0431F"/>
    <w:rsid w:val="0ECB5D66"/>
    <w:rsid w:val="0F321E2D"/>
    <w:rsid w:val="0F4E2E70"/>
    <w:rsid w:val="0F5908E5"/>
    <w:rsid w:val="0F6715A1"/>
    <w:rsid w:val="0FA731D6"/>
    <w:rsid w:val="0FB4570E"/>
    <w:rsid w:val="101F2861"/>
    <w:rsid w:val="10232DBB"/>
    <w:rsid w:val="103F55E5"/>
    <w:rsid w:val="10426990"/>
    <w:rsid w:val="104E64FE"/>
    <w:rsid w:val="108C2AA3"/>
    <w:rsid w:val="10B2030D"/>
    <w:rsid w:val="10D30C94"/>
    <w:rsid w:val="10DE14BF"/>
    <w:rsid w:val="10DF3115"/>
    <w:rsid w:val="10F900A5"/>
    <w:rsid w:val="110871BF"/>
    <w:rsid w:val="113E3C41"/>
    <w:rsid w:val="1174541F"/>
    <w:rsid w:val="11845977"/>
    <w:rsid w:val="118D05DC"/>
    <w:rsid w:val="11A32971"/>
    <w:rsid w:val="11A60FE2"/>
    <w:rsid w:val="11B5797D"/>
    <w:rsid w:val="11E53E9B"/>
    <w:rsid w:val="11FA19C4"/>
    <w:rsid w:val="11FC5F30"/>
    <w:rsid w:val="12015140"/>
    <w:rsid w:val="12190BB7"/>
    <w:rsid w:val="122C1FAC"/>
    <w:rsid w:val="127E1057"/>
    <w:rsid w:val="12870B03"/>
    <w:rsid w:val="12933287"/>
    <w:rsid w:val="1299671F"/>
    <w:rsid w:val="131813A1"/>
    <w:rsid w:val="136C566A"/>
    <w:rsid w:val="136E3911"/>
    <w:rsid w:val="136E6C55"/>
    <w:rsid w:val="137339FC"/>
    <w:rsid w:val="13DB560F"/>
    <w:rsid w:val="141842FE"/>
    <w:rsid w:val="14352831"/>
    <w:rsid w:val="14467587"/>
    <w:rsid w:val="146B64E1"/>
    <w:rsid w:val="14993B21"/>
    <w:rsid w:val="14C46A4D"/>
    <w:rsid w:val="14D73601"/>
    <w:rsid w:val="150D69F2"/>
    <w:rsid w:val="15577BAA"/>
    <w:rsid w:val="15890495"/>
    <w:rsid w:val="15B203FA"/>
    <w:rsid w:val="15B35E20"/>
    <w:rsid w:val="15E03D6F"/>
    <w:rsid w:val="15EF5060"/>
    <w:rsid w:val="16387A05"/>
    <w:rsid w:val="169C366A"/>
    <w:rsid w:val="16BA4BBB"/>
    <w:rsid w:val="16DA1E4D"/>
    <w:rsid w:val="16FB015A"/>
    <w:rsid w:val="17003574"/>
    <w:rsid w:val="170222DC"/>
    <w:rsid w:val="170D0A92"/>
    <w:rsid w:val="17535B24"/>
    <w:rsid w:val="17961B5A"/>
    <w:rsid w:val="179664F8"/>
    <w:rsid w:val="17A639A8"/>
    <w:rsid w:val="17B06B1C"/>
    <w:rsid w:val="17EB6CC8"/>
    <w:rsid w:val="182433B1"/>
    <w:rsid w:val="1842664F"/>
    <w:rsid w:val="18543673"/>
    <w:rsid w:val="186B7D0B"/>
    <w:rsid w:val="18775A33"/>
    <w:rsid w:val="189D065F"/>
    <w:rsid w:val="18BC6F6C"/>
    <w:rsid w:val="18F32BCE"/>
    <w:rsid w:val="19494A05"/>
    <w:rsid w:val="19AD112C"/>
    <w:rsid w:val="19FD4D67"/>
    <w:rsid w:val="1A320580"/>
    <w:rsid w:val="1A45032B"/>
    <w:rsid w:val="1A5F20F9"/>
    <w:rsid w:val="1A9B1F53"/>
    <w:rsid w:val="1ABB54B3"/>
    <w:rsid w:val="1B0746E3"/>
    <w:rsid w:val="1B3D4012"/>
    <w:rsid w:val="1B481AFB"/>
    <w:rsid w:val="1B8F6978"/>
    <w:rsid w:val="1BC27038"/>
    <w:rsid w:val="1BF62321"/>
    <w:rsid w:val="1C2D5D31"/>
    <w:rsid w:val="1C696E9C"/>
    <w:rsid w:val="1C700B46"/>
    <w:rsid w:val="1C78790E"/>
    <w:rsid w:val="1CC83450"/>
    <w:rsid w:val="1CE21C50"/>
    <w:rsid w:val="1D235F66"/>
    <w:rsid w:val="1D3445D7"/>
    <w:rsid w:val="1D665A9E"/>
    <w:rsid w:val="1D8D3AB3"/>
    <w:rsid w:val="1DAB7EBD"/>
    <w:rsid w:val="1DBF4D0E"/>
    <w:rsid w:val="1DC566C0"/>
    <w:rsid w:val="1DE501D0"/>
    <w:rsid w:val="1E21472F"/>
    <w:rsid w:val="1E2804C4"/>
    <w:rsid w:val="1E2C49A1"/>
    <w:rsid w:val="1E3722FA"/>
    <w:rsid w:val="1E63076D"/>
    <w:rsid w:val="1E8146DA"/>
    <w:rsid w:val="1E8F48C7"/>
    <w:rsid w:val="1EA46EA2"/>
    <w:rsid w:val="1EAA39F6"/>
    <w:rsid w:val="1EB2633F"/>
    <w:rsid w:val="1F1D5293"/>
    <w:rsid w:val="1F8E0455"/>
    <w:rsid w:val="1FAF272D"/>
    <w:rsid w:val="1FE374E8"/>
    <w:rsid w:val="1FF03AB6"/>
    <w:rsid w:val="201B4F41"/>
    <w:rsid w:val="201D6C66"/>
    <w:rsid w:val="2046671D"/>
    <w:rsid w:val="204934AB"/>
    <w:rsid w:val="20573F56"/>
    <w:rsid w:val="206C5011"/>
    <w:rsid w:val="206D660C"/>
    <w:rsid w:val="206F036B"/>
    <w:rsid w:val="20705710"/>
    <w:rsid w:val="20766362"/>
    <w:rsid w:val="20840318"/>
    <w:rsid w:val="20930DFA"/>
    <w:rsid w:val="20D02BC7"/>
    <w:rsid w:val="210637EE"/>
    <w:rsid w:val="210D777F"/>
    <w:rsid w:val="211E529B"/>
    <w:rsid w:val="213A5E32"/>
    <w:rsid w:val="21D36B48"/>
    <w:rsid w:val="221B7641"/>
    <w:rsid w:val="224F5646"/>
    <w:rsid w:val="227071BF"/>
    <w:rsid w:val="22765772"/>
    <w:rsid w:val="229A0A46"/>
    <w:rsid w:val="22D5441E"/>
    <w:rsid w:val="22D61F71"/>
    <w:rsid w:val="23164554"/>
    <w:rsid w:val="232660FF"/>
    <w:rsid w:val="2337621A"/>
    <w:rsid w:val="239043A5"/>
    <w:rsid w:val="23A837D2"/>
    <w:rsid w:val="2418652F"/>
    <w:rsid w:val="24437C46"/>
    <w:rsid w:val="245A1846"/>
    <w:rsid w:val="246202A2"/>
    <w:rsid w:val="248512BD"/>
    <w:rsid w:val="24E51B39"/>
    <w:rsid w:val="24EE6234"/>
    <w:rsid w:val="25025AE6"/>
    <w:rsid w:val="25173A41"/>
    <w:rsid w:val="252D5DCC"/>
    <w:rsid w:val="255B75CB"/>
    <w:rsid w:val="25A45302"/>
    <w:rsid w:val="25A94E88"/>
    <w:rsid w:val="25B72435"/>
    <w:rsid w:val="25E135DF"/>
    <w:rsid w:val="263E633F"/>
    <w:rsid w:val="265700BE"/>
    <w:rsid w:val="2664137B"/>
    <w:rsid w:val="267E599C"/>
    <w:rsid w:val="2686726A"/>
    <w:rsid w:val="26C17FC8"/>
    <w:rsid w:val="27010C69"/>
    <w:rsid w:val="273634D4"/>
    <w:rsid w:val="277B2881"/>
    <w:rsid w:val="27AA18F0"/>
    <w:rsid w:val="27B132D6"/>
    <w:rsid w:val="27F62462"/>
    <w:rsid w:val="27FF1FDA"/>
    <w:rsid w:val="280221E5"/>
    <w:rsid w:val="280C5E06"/>
    <w:rsid w:val="28F37EC7"/>
    <w:rsid w:val="28FE333E"/>
    <w:rsid w:val="29146B0A"/>
    <w:rsid w:val="294249BB"/>
    <w:rsid w:val="296C2102"/>
    <w:rsid w:val="298F3F66"/>
    <w:rsid w:val="29901DD6"/>
    <w:rsid w:val="29ED63D5"/>
    <w:rsid w:val="29EE750F"/>
    <w:rsid w:val="2A275682"/>
    <w:rsid w:val="2A275D46"/>
    <w:rsid w:val="2A3D6587"/>
    <w:rsid w:val="2AA14025"/>
    <w:rsid w:val="2B1830A9"/>
    <w:rsid w:val="2B2348E2"/>
    <w:rsid w:val="2B5015E2"/>
    <w:rsid w:val="2B5D0645"/>
    <w:rsid w:val="2B690FD9"/>
    <w:rsid w:val="2B907720"/>
    <w:rsid w:val="2BCD0751"/>
    <w:rsid w:val="2C485E7F"/>
    <w:rsid w:val="2C7F2EA6"/>
    <w:rsid w:val="2C885347"/>
    <w:rsid w:val="2C8E4E6A"/>
    <w:rsid w:val="2C9927E7"/>
    <w:rsid w:val="2CA444B5"/>
    <w:rsid w:val="2CA56F60"/>
    <w:rsid w:val="2CAF26BB"/>
    <w:rsid w:val="2CAF2767"/>
    <w:rsid w:val="2CFB59F1"/>
    <w:rsid w:val="2D125EB2"/>
    <w:rsid w:val="2D1E05D5"/>
    <w:rsid w:val="2D286D24"/>
    <w:rsid w:val="2D6631DB"/>
    <w:rsid w:val="2DBD7FED"/>
    <w:rsid w:val="2E412C7B"/>
    <w:rsid w:val="2E6C4E84"/>
    <w:rsid w:val="2EB636FD"/>
    <w:rsid w:val="2EC27772"/>
    <w:rsid w:val="2ED218DB"/>
    <w:rsid w:val="2F337D9E"/>
    <w:rsid w:val="2F527CA5"/>
    <w:rsid w:val="3003631E"/>
    <w:rsid w:val="30312968"/>
    <w:rsid w:val="306D23A6"/>
    <w:rsid w:val="30745F5B"/>
    <w:rsid w:val="3078124A"/>
    <w:rsid w:val="3090209F"/>
    <w:rsid w:val="30A3055F"/>
    <w:rsid w:val="30C241AA"/>
    <w:rsid w:val="31623402"/>
    <w:rsid w:val="318A5D27"/>
    <w:rsid w:val="31EB4942"/>
    <w:rsid w:val="31FC644F"/>
    <w:rsid w:val="32187B45"/>
    <w:rsid w:val="323E06FE"/>
    <w:rsid w:val="32481B82"/>
    <w:rsid w:val="32647F9F"/>
    <w:rsid w:val="3273050E"/>
    <w:rsid w:val="32891F62"/>
    <w:rsid w:val="328C1583"/>
    <w:rsid w:val="32C9080C"/>
    <w:rsid w:val="32CA0CF4"/>
    <w:rsid w:val="334275F5"/>
    <w:rsid w:val="33610AC9"/>
    <w:rsid w:val="33636F14"/>
    <w:rsid w:val="33670485"/>
    <w:rsid w:val="33C31EC0"/>
    <w:rsid w:val="33C54618"/>
    <w:rsid w:val="33D51135"/>
    <w:rsid w:val="34211C7C"/>
    <w:rsid w:val="347A4EB8"/>
    <w:rsid w:val="349A602F"/>
    <w:rsid w:val="34F82008"/>
    <w:rsid w:val="35183D8B"/>
    <w:rsid w:val="351A38E7"/>
    <w:rsid w:val="35387D52"/>
    <w:rsid w:val="35573D75"/>
    <w:rsid w:val="35746D1B"/>
    <w:rsid w:val="358E0757"/>
    <w:rsid w:val="35AE7101"/>
    <w:rsid w:val="35BE27CE"/>
    <w:rsid w:val="35F9212A"/>
    <w:rsid w:val="366043F8"/>
    <w:rsid w:val="366626F2"/>
    <w:rsid w:val="36802EEC"/>
    <w:rsid w:val="36DF11DC"/>
    <w:rsid w:val="36E51408"/>
    <w:rsid w:val="37322F38"/>
    <w:rsid w:val="373435F4"/>
    <w:rsid w:val="374F6194"/>
    <w:rsid w:val="377E74E4"/>
    <w:rsid w:val="377F6041"/>
    <w:rsid w:val="37B32C40"/>
    <w:rsid w:val="382E42A6"/>
    <w:rsid w:val="387B7D26"/>
    <w:rsid w:val="38A16B9D"/>
    <w:rsid w:val="38A75F14"/>
    <w:rsid w:val="38BD2C6C"/>
    <w:rsid w:val="38DC6938"/>
    <w:rsid w:val="38FA0996"/>
    <w:rsid w:val="39543464"/>
    <w:rsid w:val="395E7CE5"/>
    <w:rsid w:val="396E02FE"/>
    <w:rsid w:val="39715AC7"/>
    <w:rsid w:val="3982272C"/>
    <w:rsid w:val="399648C1"/>
    <w:rsid w:val="39E23D7D"/>
    <w:rsid w:val="3A156CE0"/>
    <w:rsid w:val="3A2D66D3"/>
    <w:rsid w:val="3A9620D1"/>
    <w:rsid w:val="3AA26C9B"/>
    <w:rsid w:val="3ABA1B71"/>
    <w:rsid w:val="3ACE12B7"/>
    <w:rsid w:val="3AD45B0B"/>
    <w:rsid w:val="3ADC5E36"/>
    <w:rsid w:val="3B7F2802"/>
    <w:rsid w:val="3BC33F8E"/>
    <w:rsid w:val="3BC8149D"/>
    <w:rsid w:val="3BCE7F95"/>
    <w:rsid w:val="3BE4377D"/>
    <w:rsid w:val="3BFC576F"/>
    <w:rsid w:val="3C087392"/>
    <w:rsid w:val="3C3F7E0E"/>
    <w:rsid w:val="3C893061"/>
    <w:rsid w:val="3CCB5ADF"/>
    <w:rsid w:val="3D0F30FA"/>
    <w:rsid w:val="3D614BFF"/>
    <w:rsid w:val="3D634A82"/>
    <w:rsid w:val="3D656D98"/>
    <w:rsid w:val="3D9210CE"/>
    <w:rsid w:val="3DAC0E95"/>
    <w:rsid w:val="3DC66F71"/>
    <w:rsid w:val="3E072EBE"/>
    <w:rsid w:val="3E3134AE"/>
    <w:rsid w:val="3E664B0C"/>
    <w:rsid w:val="3E7A082F"/>
    <w:rsid w:val="3E926EC3"/>
    <w:rsid w:val="3E93478A"/>
    <w:rsid w:val="3E9F10BF"/>
    <w:rsid w:val="3EAD4D77"/>
    <w:rsid w:val="3EC40624"/>
    <w:rsid w:val="3EDB2F38"/>
    <w:rsid w:val="3F0875E3"/>
    <w:rsid w:val="3F0C3812"/>
    <w:rsid w:val="3F127EF8"/>
    <w:rsid w:val="3F1F25CF"/>
    <w:rsid w:val="3F5B21D1"/>
    <w:rsid w:val="3FBD74AC"/>
    <w:rsid w:val="40C074C6"/>
    <w:rsid w:val="40D4598E"/>
    <w:rsid w:val="411531A3"/>
    <w:rsid w:val="411918F7"/>
    <w:rsid w:val="41262169"/>
    <w:rsid w:val="41643432"/>
    <w:rsid w:val="41876611"/>
    <w:rsid w:val="41CF588A"/>
    <w:rsid w:val="41E07016"/>
    <w:rsid w:val="41FD3F8C"/>
    <w:rsid w:val="421B0E01"/>
    <w:rsid w:val="42350FD2"/>
    <w:rsid w:val="42481B2A"/>
    <w:rsid w:val="437906BF"/>
    <w:rsid w:val="43C85CFB"/>
    <w:rsid w:val="43CE3BC6"/>
    <w:rsid w:val="44203CB2"/>
    <w:rsid w:val="44211E9A"/>
    <w:rsid w:val="446A1C8A"/>
    <w:rsid w:val="44A71FC9"/>
    <w:rsid w:val="44C70D28"/>
    <w:rsid w:val="44EE2D37"/>
    <w:rsid w:val="451D672D"/>
    <w:rsid w:val="454D6B7A"/>
    <w:rsid w:val="457210D8"/>
    <w:rsid w:val="45C2161A"/>
    <w:rsid w:val="45E30915"/>
    <w:rsid w:val="4625557D"/>
    <w:rsid w:val="465173C0"/>
    <w:rsid w:val="465B6C56"/>
    <w:rsid w:val="467E3F9B"/>
    <w:rsid w:val="4684656F"/>
    <w:rsid w:val="46CC7A0B"/>
    <w:rsid w:val="46D571D8"/>
    <w:rsid w:val="47047ED5"/>
    <w:rsid w:val="470D32F9"/>
    <w:rsid w:val="47312E90"/>
    <w:rsid w:val="473D266B"/>
    <w:rsid w:val="4754710D"/>
    <w:rsid w:val="47B952BD"/>
    <w:rsid w:val="47BE58D4"/>
    <w:rsid w:val="47C730F3"/>
    <w:rsid w:val="47FE53AA"/>
    <w:rsid w:val="47FE7D60"/>
    <w:rsid w:val="48110BF4"/>
    <w:rsid w:val="48200D75"/>
    <w:rsid w:val="48283643"/>
    <w:rsid w:val="48516D40"/>
    <w:rsid w:val="486A5C7B"/>
    <w:rsid w:val="48B8235C"/>
    <w:rsid w:val="48BB3F94"/>
    <w:rsid w:val="492978B7"/>
    <w:rsid w:val="49613924"/>
    <w:rsid w:val="496D0F3E"/>
    <w:rsid w:val="49951C16"/>
    <w:rsid w:val="49E12571"/>
    <w:rsid w:val="49E378C6"/>
    <w:rsid w:val="4A494B6B"/>
    <w:rsid w:val="4A4C38C3"/>
    <w:rsid w:val="4A7F600A"/>
    <w:rsid w:val="4A834EBE"/>
    <w:rsid w:val="4AA14A6D"/>
    <w:rsid w:val="4B3040AF"/>
    <w:rsid w:val="4BA90131"/>
    <w:rsid w:val="4BB36285"/>
    <w:rsid w:val="4BCF0C94"/>
    <w:rsid w:val="4BD35EC5"/>
    <w:rsid w:val="4C1B3C0A"/>
    <w:rsid w:val="4C2240ED"/>
    <w:rsid w:val="4C642D20"/>
    <w:rsid w:val="4C884727"/>
    <w:rsid w:val="4CBC728A"/>
    <w:rsid w:val="4CFB69A6"/>
    <w:rsid w:val="4D1172C0"/>
    <w:rsid w:val="4D1E7277"/>
    <w:rsid w:val="4D2316EA"/>
    <w:rsid w:val="4D267491"/>
    <w:rsid w:val="4D2A26F1"/>
    <w:rsid w:val="4D785D98"/>
    <w:rsid w:val="4D830955"/>
    <w:rsid w:val="4D8F141B"/>
    <w:rsid w:val="4D9313E7"/>
    <w:rsid w:val="4D944078"/>
    <w:rsid w:val="4E3516F4"/>
    <w:rsid w:val="4E3E017D"/>
    <w:rsid w:val="4E445ACF"/>
    <w:rsid w:val="4E4A0792"/>
    <w:rsid w:val="4E885503"/>
    <w:rsid w:val="4E9750C6"/>
    <w:rsid w:val="4EA44C2A"/>
    <w:rsid w:val="4F52579A"/>
    <w:rsid w:val="4F7B1C88"/>
    <w:rsid w:val="4FB07551"/>
    <w:rsid w:val="4FC672ED"/>
    <w:rsid w:val="4FFC0A94"/>
    <w:rsid w:val="50081059"/>
    <w:rsid w:val="50113C1B"/>
    <w:rsid w:val="503235EA"/>
    <w:rsid w:val="5045733B"/>
    <w:rsid w:val="50BD2F22"/>
    <w:rsid w:val="50F36CD9"/>
    <w:rsid w:val="51207667"/>
    <w:rsid w:val="512E641B"/>
    <w:rsid w:val="517D059D"/>
    <w:rsid w:val="517D5EC5"/>
    <w:rsid w:val="51977A61"/>
    <w:rsid w:val="51A4797D"/>
    <w:rsid w:val="51B21FB1"/>
    <w:rsid w:val="51D204A9"/>
    <w:rsid w:val="520C37EB"/>
    <w:rsid w:val="523F7F97"/>
    <w:rsid w:val="526975A0"/>
    <w:rsid w:val="528A5EAE"/>
    <w:rsid w:val="53047529"/>
    <w:rsid w:val="534D5B4E"/>
    <w:rsid w:val="539255E0"/>
    <w:rsid w:val="53CF255F"/>
    <w:rsid w:val="53E32381"/>
    <w:rsid w:val="54107975"/>
    <w:rsid w:val="5451551D"/>
    <w:rsid w:val="54815590"/>
    <w:rsid w:val="553A4CBA"/>
    <w:rsid w:val="557E6857"/>
    <w:rsid w:val="55AF64A7"/>
    <w:rsid w:val="55D966C5"/>
    <w:rsid w:val="55DA203F"/>
    <w:rsid w:val="55DA2C2D"/>
    <w:rsid w:val="55E15918"/>
    <w:rsid w:val="55E65C45"/>
    <w:rsid w:val="55EC356D"/>
    <w:rsid w:val="56076B9C"/>
    <w:rsid w:val="56190F0D"/>
    <w:rsid w:val="563A460F"/>
    <w:rsid w:val="56491339"/>
    <w:rsid w:val="566B6C45"/>
    <w:rsid w:val="566E507A"/>
    <w:rsid w:val="568D4AE9"/>
    <w:rsid w:val="56975E59"/>
    <w:rsid w:val="569C350B"/>
    <w:rsid w:val="56BF0EA2"/>
    <w:rsid w:val="5705292C"/>
    <w:rsid w:val="572E206A"/>
    <w:rsid w:val="57300D49"/>
    <w:rsid w:val="575F18E4"/>
    <w:rsid w:val="57BD0A78"/>
    <w:rsid w:val="57BF2AB9"/>
    <w:rsid w:val="57FB5F50"/>
    <w:rsid w:val="580C513A"/>
    <w:rsid w:val="589327C6"/>
    <w:rsid w:val="58984B29"/>
    <w:rsid w:val="58B03A4A"/>
    <w:rsid w:val="58CC2526"/>
    <w:rsid w:val="58CE572B"/>
    <w:rsid w:val="590D5DDF"/>
    <w:rsid w:val="593C0034"/>
    <w:rsid w:val="596002B1"/>
    <w:rsid w:val="59C02D95"/>
    <w:rsid w:val="59C754AB"/>
    <w:rsid w:val="59E079AB"/>
    <w:rsid w:val="5A08478F"/>
    <w:rsid w:val="5A0E1221"/>
    <w:rsid w:val="5A375749"/>
    <w:rsid w:val="5A726BA0"/>
    <w:rsid w:val="5A9A708B"/>
    <w:rsid w:val="5AD23B81"/>
    <w:rsid w:val="5AD3204F"/>
    <w:rsid w:val="5AE374FA"/>
    <w:rsid w:val="5AFC1594"/>
    <w:rsid w:val="5B046C8F"/>
    <w:rsid w:val="5B071BBA"/>
    <w:rsid w:val="5B2B4A21"/>
    <w:rsid w:val="5B63756F"/>
    <w:rsid w:val="5B6D6776"/>
    <w:rsid w:val="5B725B6B"/>
    <w:rsid w:val="5BBE026D"/>
    <w:rsid w:val="5BDF3319"/>
    <w:rsid w:val="5C314A49"/>
    <w:rsid w:val="5C991133"/>
    <w:rsid w:val="5CF6045E"/>
    <w:rsid w:val="5CF958BE"/>
    <w:rsid w:val="5D005D1E"/>
    <w:rsid w:val="5D0C6074"/>
    <w:rsid w:val="5D5144C0"/>
    <w:rsid w:val="5D6259A9"/>
    <w:rsid w:val="5D9F4EFD"/>
    <w:rsid w:val="5DE12954"/>
    <w:rsid w:val="5E1D3733"/>
    <w:rsid w:val="5E2A7858"/>
    <w:rsid w:val="5E3825F2"/>
    <w:rsid w:val="5E4424F9"/>
    <w:rsid w:val="5E790BE8"/>
    <w:rsid w:val="5E973039"/>
    <w:rsid w:val="5EA87B0A"/>
    <w:rsid w:val="5EB119EE"/>
    <w:rsid w:val="5ED531FF"/>
    <w:rsid w:val="5F3E2940"/>
    <w:rsid w:val="5F4945D9"/>
    <w:rsid w:val="5F4E4F30"/>
    <w:rsid w:val="5F730453"/>
    <w:rsid w:val="5FA02B35"/>
    <w:rsid w:val="5FAE4FA2"/>
    <w:rsid w:val="5FCB4192"/>
    <w:rsid w:val="5FDD4347"/>
    <w:rsid w:val="600F0F4C"/>
    <w:rsid w:val="6014476C"/>
    <w:rsid w:val="60196DC5"/>
    <w:rsid w:val="601A7A49"/>
    <w:rsid w:val="608F27CE"/>
    <w:rsid w:val="609751E5"/>
    <w:rsid w:val="61C16E82"/>
    <w:rsid w:val="61D81A5C"/>
    <w:rsid w:val="61EA08FA"/>
    <w:rsid w:val="622820DB"/>
    <w:rsid w:val="624A525A"/>
    <w:rsid w:val="62531347"/>
    <w:rsid w:val="62713AA8"/>
    <w:rsid w:val="62B8321C"/>
    <w:rsid w:val="632E4D4F"/>
    <w:rsid w:val="635523C0"/>
    <w:rsid w:val="63766DF5"/>
    <w:rsid w:val="63BE6B4B"/>
    <w:rsid w:val="63E41E32"/>
    <w:rsid w:val="643636FB"/>
    <w:rsid w:val="64522BD2"/>
    <w:rsid w:val="646766DC"/>
    <w:rsid w:val="64F874A6"/>
    <w:rsid w:val="6503009D"/>
    <w:rsid w:val="651E5E20"/>
    <w:rsid w:val="65225124"/>
    <w:rsid w:val="6551371E"/>
    <w:rsid w:val="657E2D0B"/>
    <w:rsid w:val="65FE510C"/>
    <w:rsid w:val="660E507B"/>
    <w:rsid w:val="663218D9"/>
    <w:rsid w:val="66353B28"/>
    <w:rsid w:val="66373410"/>
    <w:rsid w:val="664163B2"/>
    <w:rsid w:val="66576902"/>
    <w:rsid w:val="666055B1"/>
    <w:rsid w:val="66940C21"/>
    <w:rsid w:val="66943B2D"/>
    <w:rsid w:val="672D5A5B"/>
    <w:rsid w:val="675A1CF7"/>
    <w:rsid w:val="6761194F"/>
    <w:rsid w:val="677F7400"/>
    <w:rsid w:val="679B68A3"/>
    <w:rsid w:val="67A01566"/>
    <w:rsid w:val="67A84465"/>
    <w:rsid w:val="67AB3B49"/>
    <w:rsid w:val="67D934C7"/>
    <w:rsid w:val="67FB469F"/>
    <w:rsid w:val="68384317"/>
    <w:rsid w:val="68603781"/>
    <w:rsid w:val="69291ACC"/>
    <w:rsid w:val="693F57CE"/>
    <w:rsid w:val="696B32FD"/>
    <w:rsid w:val="69790742"/>
    <w:rsid w:val="69797C2C"/>
    <w:rsid w:val="69811ECC"/>
    <w:rsid w:val="69D74CDC"/>
    <w:rsid w:val="6A0872C8"/>
    <w:rsid w:val="6A2D75B2"/>
    <w:rsid w:val="6A4C00A9"/>
    <w:rsid w:val="6A8D609D"/>
    <w:rsid w:val="6A9578E6"/>
    <w:rsid w:val="6A9B47A1"/>
    <w:rsid w:val="6AA15942"/>
    <w:rsid w:val="6AB413C1"/>
    <w:rsid w:val="6AB71E26"/>
    <w:rsid w:val="6ACB6F07"/>
    <w:rsid w:val="6AFF14C0"/>
    <w:rsid w:val="6B0E13E7"/>
    <w:rsid w:val="6B107BBD"/>
    <w:rsid w:val="6B1646AE"/>
    <w:rsid w:val="6B29781B"/>
    <w:rsid w:val="6B9A1403"/>
    <w:rsid w:val="6BA5229B"/>
    <w:rsid w:val="6BD23047"/>
    <w:rsid w:val="6BED23BE"/>
    <w:rsid w:val="6BFF0085"/>
    <w:rsid w:val="6CBF5CCB"/>
    <w:rsid w:val="6CE36682"/>
    <w:rsid w:val="6D17028B"/>
    <w:rsid w:val="6D2F7FDF"/>
    <w:rsid w:val="6D3C235D"/>
    <w:rsid w:val="6D935AB0"/>
    <w:rsid w:val="6D970598"/>
    <w:rsid w:val="6DDB2EEE"/>
    <w:rsid w:val="6E087119"/>
    <w:rsid w:val="6E0A3A07"/>
    <w:rsid w:val="6E4F724A"/>
    <w:rsid w:val="6E555DBD"/>
    <w:rsid w:val="6E60770D"/>
    <w:rsid w:val="6EA37484"/>
    <w:rsid w:val="6F037853"/>
    <w:rsid w:val="6F1C746B"/>
    <w:rsid w:val="6F375CDC"/>
    <w:rsid w:val="6F4209E2"/>
    <w:rsid w:val="6F6E3D68"/>
    <w:rsid w:val="6F7B3028"/>
    <w:rsid w:val="6FA027BC"/>
    <w:rsid w:val="6FC55DFE"/>
    <w:rsid w:val="6FC567DD"/>
    <w:rsid w:val="6FE37457"/>
    <w:rsid w:val="70020A66"/>
    <w:rsid w:val="701B6FD8"/>
    <w:rsid w:val="706A7B0F"/>
    <w:rsid w:val="7080412D"/>
    <w:rsid w:val="70A37518"/>
    <w:rsid w:val="70ED1FA3"/>
    <w:rsid w:val="71483213"/>
    <w:rsid w:val="71C02E12"/>
    <w:rsid w:val="71EF2FA5"/>
    <w:rsid w:val="7210341D"/>
    <w:rsid w:val="727D281D"/>
    <w:rsid w:val="73593AA9"/>
    <w:rsid w:val="73624F26"/>
    <w:rsid w:val="736C6888"/>
    <w:rsid w:val="739B1EBD"/>
    <w:rsid w:val="73AF18CB"/>
    <w:rsid w:val="73ED4A58"/>
    <w:rsid w:val="744A19BE"/>
    <w:rsid w:val="74796ABE"/>
    <w:rsid w:val="748E7B61"/>
    <w:rsid w:val="74C80433"/>
    <w:rsid w:val="74E229B4"/>
    <w:rsid w:val="74E62567"/>
    <w:rsid w:val="74E9694C"/>
    <w:rsid w:val="74EC26A7"/>
    <w:rsid w:val="755A6133"/>
    <w:rsid w:val="75820BC7"/>
    <w:rsid w:val="75DF32A0"/>
    <w:rsid w:val="760A43BF"/>
    <w:rsid w:val="761450E8"/>
    <w:rsid w:val="765D589D"/>
    <w:rsid w:val="76880752"/>
    <w:rsid w:val="76A133C0"/>
    <w:rsid w:val="76D36025"/>
    <w:rsid w:val="76F2605E"/>
    <w:rsid w:val="76F26E0A"/>
    <w:rsid w:val="76F311B2"/>
    <w:rsid w:val="770B7F05"/>
    <w:rsid w:val="776B6DA8"/>
    <w:rsid w:val="77786110"/>
    <w:rsid w:val="77A75304"/>
    <w:rsid w:val="78092296"/>
    <w:rsid w:val="780A1E7A"/>
    <w:rsid w:val="781457E7"/>
    <w:rsid w:val="78B27C70"/>
    <w:rsid w:val="78B91402"/>
    <w:rsid w:val="78C104D0"/>
    <w:rsid w:val="78CE06BC"/>
    <w:rsid w:val="79047700"/>
    <w:rsid w:val="792F4121"/>
    <w:rsid w:val="79493EB1"/>
    <w:rsid w:val="79792132"/>
    <w:rsid w:val="797C66CF"/>
    <w:rsid w:val="79A43F00"/>
    <w:rsid w:val="79CC1012"/>
    <w:rsid w:val="79D87E86"/>
    <w:rsid w:val="79F02019"/>
    <w:rsid w:val="7A7550A6"/>
    <w:rsid w:val="7A940823"/>
    <w:rsid w:val="7AAF3771"/>
    <w:rsid w:val="7AC921A6"/>
    <w:rsid w:val="7AEC001A"/>
    <w:rsid w:val="7B475761"/>
    <w:rsid w:val="7B7D3C44"/>
    <w:rsid w:val="7BA74595"/>
    <w:rsid w:val="7BC439E2"/>
    <w:rsid w:val="7BE208A5"/>
    <w:rsid w:val="7BE3068E"/>
    <w:rsid w:val="7C4745A8"/>
    <w:rsid w:val="7C4D0EB7"/>
    <w:rsid w:val="7C846390"/>
    <w:rsid w:val="7C854172"/>
    <w:rsid w:val="7CAF51D0"/>
    <w:rsid w:val="7CAF6655"/>
    <w:rsid w:val="7CC40873"/>
    <w:rsid w:val="7D2A73BF"/>
    <w:rsid w:val="7D4671C7"/>
    <w:rsid w:val="7D6E224F"/>
    <w:rsid w:val="7D87285F"/>
    <w:rsid w:val="7D9B3B81"/>
    <w:rsid w:val="7DA87B6D"/>
    <w:rsid w:val="7DA957CB"/>
    <w:rsid w:val="7DF366F8"/>
    <w:rsid w:val="7E1F6225"/>
    <w:rsid w:val="7E532A76"/>
    <w:rsid w:val="7E5940F2"/>
    <w:rsid w:val="7E5B35FF"/>
    <w:rsid w:val="7E6916D3"/>
    <w:rsid w:val="7E7978EC"/>
    <w:rsid w:val="7E852648"/>
    <w:rsid w:val="7E9E2B67"/>
    <w:rsid w:val="7EA33491"/>
    <w:rsid w:val="7F2137F9"/>
    <w:rsid w:val="7F2E155F"/>
    <w:rsid w:val="7F504ACB"/>
    <w:rsid w:val="7F5F6399"/>
    <w:rsid w:val="7F5F7BC0"/>
    <w:rsid w:val="7F7F4589"/>
    <w:rsid w:val="7F93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DC50A"/>
  <w15:docId w15:val="{E542C80E-A065-4AD0-AC97-D515820F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09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A0D55A-6D96-4576-8969-6702ED02BB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1762</Words>
  <Characters>10045</Characters>
  <Application>Microsoft Office Word</Application>
  <DocSecurity>0</DocSecurity>
  <Lines>83</Lines>
  <Paragraphs>23</Paragraphs>
  <ScaleCrop>false</ScaleCrop>
  <Company>Hewlett-Packard Company</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2021-04-01T07:16:00Z</dcterms:created>
  <dcterms:modified xsi:type="dcterms:W3CDTF">2021-10-21T15:36:00Z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